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BA" w:rsidRPr="001F048B" w:rsidRDefault="003211CF" w:rsidP="002D7A1F">
      <w:pPr>
        <w:rPr>
          <w:b/>
          <w:sz w:val="28"/>
          <w:szCs w:val="28"/>
        </w:rPr>
      </w:pPr>
      <w:bookmarkStart w:id="0" w:name="_GoBack"/>
      <w:bookmarkEnd w:id="0"/>
      <w:r w:rsidRPr="001F048B">
        <w:rPr>
          <w:b/>
          <w:sz w:val="28"/>
          <w:szCs w:val="28"/>
        </w:rPr>
        <w:t>PRIHODI DRŽAVNOG PRORAČUNA</w:t>
      </w:r>
      <w:r w:rsidR="00FE7DC0" w:rsidRPr="001F048B">
        <w:rPr>
          <w:b/>
          <w:sz w:val="28"/>
          <w:szCs w:val="28"/>
        </w:rPr>
        <w:t xml:space="preserve"> </w:t>
      </w:r>
    </w:p>
    <w:p w:rsidR="00CF13BA" w:rsidRPr="00C21ACA" w:rsidRDefault="00CF13BA" w:rsidP="002D7A1F"/>
    <w:p w:rsidR="00DE3A82" w:rsidRPr="00C21ACA" w:rsidRDefault="00DE3A82" w:rsidP="002D7A1F">
      <w:pPr>
        <w:jc w:val="both"/>
        <w:rPr>
          <w:rFonts w:eastAsia="Calibri"/>
        </w:rPr>
      </w:pPr>
    </w:p>
    <w:p w:rsidR="008F2D50" w:rsidRDefault="00A61F9F" w:rsidP="002D7A1F">
      <w:pPr>
        <w:jc w:val="both"/>
      </w:pPr>
      <w:r w:rsidRPr="00C21ACA">
        <w:t xml:space="preserve">Prihodi </w:t>
      </w:r>
      <w:r w:rsidR="0061761D">
        <w:t xml:space="preserve">državnog </w:t>
      </w:r>
      <w:r w:rsidRPr="00C21ACA">
        <w:t>proračuna ostvareni u 201</w:t>
      </w:r>
      <w:r w:rsidR="008F2D50">
        <w:t>9</w:t>
      </w:r>
      <w:r w:rsidRPr="00C21ACA">
        <w:t xml:space="preserve">. rezultat su </w:t>
      </w:r>
      <w:r w:rsidR="0061761D">
        <w:t>pozitivnih makroekonomskih</w:t>
      </w:r>
      <w:r w:rsidR="0061761D" w:rsidRPr="00C21ACA">
        <w:t xml:space="preserve"> </w:t>
      </w:r>
      <w:r w:rsidRPr="00C21ACA">
        <w:t>kretanja</w:t>
      </w:r>
      <w:r w:rsidR="0061761D">
        <w:t xml:space="preserve"> i</w:t>
      </w:r>
      <w:r w:rsidR="00DE3A82" w:rsidRPr="00C21ACA">
        <w:t xml:space="preserve"> </w:t>
      </w:r>
      <w:r w:rsidR="000F32FD" w:rsidRPr="00C21ACA">
        <w:t xml:space="preserve">cjelogodišnjeg učinka porezne reforme </w:t>
      </w:r>
      <w:r w:rsidR="004F0F2A">
        <w:t xml:space="preserve">iz </w:t>
      </w:r>
      <w:r w:rsidR="008F2D50" w:rsidRPr="00470A13">
        <w:t>201</w:t>
      </w:r>
      <w:r w:rsidR="004F0F2A">
        <w:t>8</w:t>
      </w:r>
      <w:r w:rsidR="008F2D50" w:rsidRPr="00470A13">
        <w:t>., kao i daljnjim poreznim rasterećenjem koje je stupilo na snagu od siječnja 2019. godine.</w:t>
      </w:r>
    </w:p>
    <w:p w:rsidR="008F2D50" w:rsidRDefault="008F2D50" w:rsidP="002D7A1F">
      <w:pPr>
        <w:suppressAutoHyphens/>
        <w:jc w:val="both"/>
        <w:textAlignment w:val="baseline"/>
      </w:pPr>
      <w:r>
        <w:t>Navedene izmjene odnose se prvenstveno na porezno rasterećenje u sustavu PDV-a i doprinosa, te sustavu trošarina. Glavna izmjena u sustavu PDV-a,</w:t>
      </w:r>
      <w:r w:rsidRPr="00EE4C78">
        <w:t xml:space="preserve"> s ciljem smanjenja regresivnog učinka </w:t>
      </w:r>
      <w:r>
        <w:t>ovog poreza</w:t>
      </w:r>
      <w:r w:rsidRPr="00EE4C78">
        <w:t xml:space="preserve"> na najosjetljiviju skupinu građana, </w:t>
      </w:r>
      <w:r>
        <w:t xml:space="preserve">odnosi se na smanjenu stopu </w:t>
      </w:r>
      <w:r w:rsidRPr="00EE4C78">
        <w:t xml:space="preserve">PDV-a s 25% na 13% za </w:t>
      </w:r>
      <w:r>
        <w:t xml:space="preserve">žive životinje, </w:t>
      </w:r>
      <w:r w:rsidRPr="00EE4C78">
        <w:t xml:space="preserve">svježe </w:t>
      </w:r>
      <w:r>
        <w:t xml:space="preserve">i rashlađeno </w:t>
      </w:r>
      <w:r w:rsidRPr="00EE4C78">
        <w:t>meso</w:t>
      </w:r>
      <w:r>
        <w:t>,</w:t>
      </w:r>
      <w:r w:rsidRPr="00EE4C78">
        <w:t xml:space="preserve"> ribu</w:t>
      </w:r>
      <w:r>
        <w:t>,</w:t>
      </w:r>
      <w:r w:rsidRPr="00EE4C78">
        <w:t xml:space="preserve"> voće i povrće, </w:t>
      </w:r>
      <w:r>
        <w:t>jaja, dječje pelene, dok se svi lijekovi oporezuju stopom od 5%. Nadalje,</w:t>
      </w:r>
      <w:r w:rsidRPr="00EE4C78">
        <w:t xml:space="preserve"> </w:t>
      </w:r>
      <w:r>
        <w:t>i</w:t>
      </w:r>
      <w:r w:rsidRPr="00EE4C78">
        <w:t xml:space="preserve">zmjenama u sustavu posebnih poreza i trošarina od 2019. </w:t>
      </w:r>
      <w:r>
        <w:t xml:space="preserve">godine </w:t>
      </w:r>
      <w:r w:rsidRPr="00EE4C78">
        <w:t xml:space="preserve">ostvaruje se povrat dijela plaćene trošarine na gorivo koje se koristi kod komercijalnog prijevoza roba kamionima određene nosivosti te </w:t>
      </w:r>
      <w:r>
        <w:t>za komercijalni prijevoz putnika</w:t>
      </w:r>
      <w:r w:rsidRPr="00EE4C78">
        <w:t xml:space="preserve">. </w:t>
      </w:r>
      <w:r>
        <w:t xml:space="preserve">Vezano uz trošarine na duhanske proizvode, promijenjena je visina trošarina na cigarete u svrhu usklađivanja sa zahtjevima EU zakonodavstva, budući </w:t>
      </w:r>
      <w:r w:rsidR="00945A62">
        <w:t xml:space="preserve">da </w:t>
      </w:r>
      <w:r>
        <w:t xml:space="preserve">je prosječna ponderirana maloprodajna cijena cigareta pala ispod 60 eura. </w:t>
      </w:r>
      <w:r w:rsidRPr="00EE4C78">
        <w:t>U sustavu doprinosa ukinut je doprinos za obvezno osiguranje u slučaju nezaposlenosti od 1,7% i doprinos za zaštitu zdravlja na radu od 0,5%</w:t>
      </w:r>
      <w:r>
        <w:t>,</w:t>
      </w:r>
      <w:r w:rsidRPr="00EE4C78">
        <w:t xml:space="preserve"> uz istovremeno povećanje doprinosa za zdravstveno osiguranje </w:t>
      </w:r>
      <w:r>
        <w:t xml:space="preserve">s 15% </w:t>
      </w:r>
      <w:r w:rsidRPr="00EE4C78">
        <w:t xml:space="preserve">na 16,5%. Time </w:t>
      </w:r>
      <w:r>
        <w:t>je umanjeno</w:t>
      </w:r>
      <w:r w:rsidRPr="00EE4C78">
        <w:t xml:space="preserve"> ukupno </w:t>
      </w:r>
      <w:r w:rsidR="00945A62">
        <w:t>izdvajanje poduzetnika na plaću</w:t>
      </w:r>
      <w:r w:rsidRPr="00EE4C78">
        <w:t>. U sustavu poreza na dohodak, proširen je razred za primjenu stope od 24%</w:t>
      </w:r>
      <w:r>
        <w:t xml:space="preserve"> sa 17.500 kuna na 30.000 kuna</w:t>
      </w:r>
      <w:r w:rsidRPr="00EE4C78">
        <w:t>. Porez na promet nekretnina smanjen je s 4% na 3%.</w:t>
      </w:r>
    </w:p>
    <w:p w:rsidR="008F2D50" w:rsidRDefault="008F2D50" w:rsidP="002D7A1F">
      <w:pPr>
        <w:jc w:val="both"/>
      </w:pPr>
    </w:p>
    <w:p w:rsidR="009E6F6A" w:rsidRPr="00C21ACA" w:rsidRDefault="0033135B" w:rsidP="002D7A1F">
      <w:pPr>
        <w:jc w:val="both"/>
      </w:pPr>
      <w:r w:rsidRPr="00C21ACA">
        <w:t>U</w:t>
      </w:r>
      <w:r w:rsidR="009E6F6A" w:rsidRPr="00C21ACA">
        <w:t>kupni p</w:t>
      </w:r>
      <w:r w:rsidRPr="00C21ACA">
        <w:t>rihodi državnog proračuna u 201</w:t>
      </w:r>
      <w:r w:rsidR="008F2D50">
        <w:t>9</w:t>
      </w:r>
      <w:r w:rsidR="009E6F6A" w:rsidRPr="00C21ACA">
        <w:t>. godini ostvareni su u iznosu od</w:t>
      </w:r>
      <w:r w:rsidR="009E6F6A" w:rsidRPr="00C21ACA">
        <w:rPr>
          <w:b/>
        </w:rPr>
        <w:t xml:space="preserve"> </w:t>
      </w:r>
      <w:r w:rsidR="00A97628" w:rsidRPr="00C21ACA">
        <w:t>1</w:t>
      </w:r>
      <w:r w:rsidR="008F2D50">
        <w:t>3</w:t>
      </w:r>
      <w:r w:rsidR="00BD5581" w:rsidRPr="00C21ACA">
        <w:t>9</w:t>
      </w:r>
      <w:r w:rsidR="00736DD3" w:rsidRPr="00C21ACA">
        <w:t>,</w:t>
      </w:r>
      <w:r w:rsidR="008F2D50">
        <w:t>9</w:t>
      </w:r>
      <w:r w:rsidR="009E6F6A" w:rsidRPr="00C21ACA">
        <w:t xml:space="preserve"> milijard</w:t>
      </w:r>
      <w:r w:rsidR="008F2D50">
        <w:t>i</w:t>
      </w:r>
      <w:r w:rsidR="009E6F6A" w:rsidRPr="00C21ACA">
        <w:rPr>
          <w:b/>
        </w:rPr>
        <w:t xml:space="preserve"> </w:t>
      </w:r>
      <w:r w:rsidR="009E6F6A" w:rsidRPr="00C21ACA">
        <w:t>kuna</w:t>
      </w:r>
      <w:r w:rsidR="00A97628" w:rsidRPr="00F86EF8">
        <w:t xml:space="preserve">. </w:t>
      </w:r>
      <w:r w:rsidR="00A97628" w:rsidRPr="00C21ACA">
        <w:t xml:space="preserve">Navedeni prihodi su </w:t>
      </w:r>
      <w:r w:rsidR="008F2D50">
        <w:t>1,6</w:t>
      </w:r>
      <w:r w:rsidR="00A97628" w:rsidRPr="00C21ACA">
        <w:t xml:space="preserve">% veći od planiranih, dok u usporedbi s prethodnom godinom rastu za </w:t>
      </w:r>
      <w:r w:rsidR="008F2D50">
        <w:t>8,1</w:t>
      </w:r>
      <w:r w:rsidR="00A97628" w:rsidRPr="00C21ACA">
        <w:t xml:space="preserve">%. </w:t>
      </w:r>
      <w:r w:rsidR="009E6F6A" w:rsidRPr="00C21ACA">
        <w:t xml:space="preserve"> </w:t>
      </w:r>
    </w:p>
    <w:p w:rsidR="009E6F6A" w:rsidRPr="00C21ACA" w:rsidRDefault="009E6F6A" w:rsidP="002D7A1F">
      <w:pPr>
        <w:autoSpaceDE w:val="0"/>
        <w:autoSpaceDN w:val="0"/>
        <w:adjustRightInd w:val="0"/>
        <w:jc w:val="both"/>
      </w:pPr>
    </w:p>
    <w:p w:rsidR="00B44B2C" w:rsidRPr="00213CCE" w:rsidRDefault="009E6F6A" w:rsidP="002D7A1F">
      <w:pPr>
        <w:rPr>
          <w:i/>
        </w:rPr>
      </w:pPr>
      <w:r w:rsidRPr="00213CCE">
        <w:rPr>
          <w:i/>
        </w:rPr>
        <w:t xml:space="preserve">Tablica </w:t>
      </w:r>
      <w:r w:rsidRPr="00213CCE">
        <w:rPr>
          <w:i/>
        </w:rPr>
        <w:fldChar w:fldCharType="begin"/>
      </w:r>
      <w:r w:rsidRPr="00213CCE">
        <w:rPr>
          <w:i/>
        </w:rPr>
        <w:instrText xml:space="preserve"> SEQ Tablica \* ARABIC </w:instrText>
      </w:r>
      <w:r w:rsidRPr="00213CCE">
        <w:rPr>
          <w:i/>
        </w:rPr>
        <w:fldChar w:fldCharType="separate"/>
      </w:r>
      <w:r w:rsidR="00402749" w:rsidRPr="00213CCE">
        <w:rPr>
          <w:i/>
          <w:noProof/>
        </w:rPr>
        <w:t>1</w:t>
      </w:r>
      <w:r w:rsidRPr="00213CCE">
        <w:rPr>
          <w:i/>
        </w:rPr>
        <w:fldChar w:fldCharType="end"/>
      </w:r>
      <w:r w:rsidRPr="00213CCE">
        <w:rPr>
          <w:i/>
        </w:rPr>
        <w:t>. Prihodi državnog proračuna u 201</w:t>
      </w:r>
      <w:r w:rsidR="008F2D50" w:rsidRPr="00213CCE">
        <w:rPr>
          <w:i/>
        </w:rPr>
        <w:t>8</w:t>
      </w:r>
      <w:r w:rsidR="00917015" w:rsidRPr="00213CCE">
        <w:rPr>
          <w:i/>
        </w:rPr>
        <w:t>.</w:t>
      </w:r>
      <w:r w:rsidRPr="00213CCE">
        <w:rPr>
          <w:i/>
        </w:rPr>
        <w:t xml:space="preserve"> i 201</w:t>
      </w:r>
      <w:r w:rsidR="008F2D50" w:rsidRPr="00213CCE">
        <w:rPr>
          <w:i/>
        </w:rPr>
        <w:t>9</w:t>
      </w:r>
      <w:r w:rsidRPr="00213CCE">
        <w:rPr>
          <w:i/>
        </w:rPr>
        <w:t xml:space="preserve">. </w:t>
      </w:r>
      <w:r w:rsidR="00930B23" w:rsidRPr="00213CCE">
        <w:rPr>
          <w:i/>
        </w:rPr>
        <w:t>g</w:t>
      </w:r>
      <w:r w:rsidRPr="00213CCE">
        <w:rPr>
          <w:i/>
        </w:rPr>
        <w:t>odini</w:t>
      </w:r>
    </w:p>
    <w:p w:rsidR="004F0F2A" w:rsidRPr="00C21ACA" w:rsidRDefault="0092324A" w:rsidP="002D7A1F">
      <w:pPr>
        <w:rPr>
          <w:b/>
        </w:rPr>
      </w:pPr>
      <w:r>
        <w:rPr>
          <w:noProof/>
        </w:rPr>
        <w:drawing>
          <wp:inline distT="0" distB="0" distL="0" distR="0" wp14:anchorId="37600726" wp14:editId="79FF0854">
            <wp:extent cx="5753100" cy="28194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819400"/>
                    </a:xfrm>
                    <a:prstGeom prst="rect">
                      <a:avLst/>
                    </a:prstGeom>
                    <a:noFill/>
                    <a:ln>
                      <a:noFill/>
                    </a:ln>
                  </pic:spPr>
                </pic:pic>
              </a:graphicData>
            </a:graphic>
          </wp:inline>
        </w:drawing>
      </w:r>
    </w:p>
    <w:p w:rsidR="004F0F2A" w:rsidRDefault="004F0F2A" w:rsidP="002D7A1F">
      <w:pPr>
        <w:jc w:val="both"/>
      </w:pPr>
    </w:p>
    <w:p w:rsidR="009E6F6A" w:rsidRPr="00C21ACA" w:rsidRDefault="009E6F6A" w:rsidP="002D7A1F">
      <w:pPr>
        <w:rPr>
          <w:b/>
          <w:bCs/>
          <w:iCs/>
          <w:u w:val="single"/>
        </w:rPr>
      </w:pPr>
      <w:r w:rsidRPr="00C21ACA">
        <w:rPr>
          <w:b/>
          <w:bCs/>
          <w:iCs/>
          <w:u w:val="single"/>
        </w:rPr>
        <w:t>Prihodi poslovanja</w:t>
      </w:r>
    </w:p>
    <w:p w:rsidR="00F86EF8" w:rsidRDefault="00F86EF8" w:rsidP="002D7A1F">
      <w:pPr>
        <w:jc w:val="both"/>
        <w:rPr>
          <w:rFonts w:eastAsia="Calibri"/>
        </w:rPr>
      </w:pPr>
    </w:p>
    <w:p w:rsidR="009E6F6A" w:rsidRPr="00C21ACA" w:rsidRDefault="009E6F6A" w:rsidP="002D7A1F">
      <w:pPr>
        <w:jc w:val="both"/>
        <w:rPr>
          <w:rFonts w:eastAsia="Calibri"/>
        </w:rPr>
      </w:pPr>
      <w:r w:rsidRPr="00C21ACA">
        <w:rPr>
          <w:rFonts w:eastAsia="Calibri"/>
        </w:rPr>
        <w:t>Prihodi poslovanja u 201</w:t>
      </w:r>
      <w:r w:rsidR="008F2D50">
        <w:rPr>
          <w:rFonts w:eastAsia="Calibri"/>
        </w:rPr>
        <w:t>9</w:t>
      </w:r>
      <w:r w:rsidRPr="00C21ACA">
        <w:rPr>
          <w:rFonts w:eastAsia="Calibri"/>
        </w:rPr>
        <w:t xml:space="preserve">. godini ostvareni su u iznosu od </w:t>
      </w:r>
      <w:r w:rsidR="00A97628" w:rsidRPr="00C21ACA">
        <w:rPr>
          <w:rFonts w:eastAsia="Calibri"/>
        </w:rPr>
        <w:t>1</w:t>
      </w:r>
      <w:r w:rsidR="008F2D50">
        <w:rPr>
          <w:rFonts w:eastAsia="Calibri"/>
        </w:rPr>
        <w:t>3</w:t>
      </w:r>
      <w:r w:rsidR="00BD5581" w:rsidRPr="00C21ACA">
        <w:rPr>
          <w:rFonts w:eastAsia="Calibri"/>
        </w:rPr>
        <w:t>8</w:t>
      </w:r>
      <w:r w:rsidR="00736DD3" w:rsidRPr="00C21ACA">
        <w:rPr>
          <w:rFonts w:eastAsia="Calibri"/>
        </w:rPr>
        <w:t>,</w:t>
      </w:r>
      <w:r w:rsidR="008F2D50">
        <w:rPr>
          <w:rFonts w:eastAsia="Calibri"/>
        </w:rPr>
        <w:t>9</w:t>
      </w:r>
      <w:r w:rsidRPr="00C21ACA">
        <w:rPr>
          <w:rFonts w:eastAsia="Calibri"/>
        </w:rPr>
        <w:t xml:space="preserve"> milijard</w:t>
      </w:r>
      <w:r w:rsidR="00BD5581" w:rsidRPr="00C21ACA">
        <w:rPr>
          <w:rFonts w:eastAsia="Calibri"/>
        </w:rPr>
        <w:t>i</w:t>
      </w:r>
      <w:r w:rsidRPr="00C21ACA">
        <w:rPr>
          <w:rFonts w:eastAsia="Calibri"/>
        </w:rPr>
        <w:t xml:space="preserve"> kuna i čine 99,</w:t>
      </w:r>
      <w:r w:rsidR="008F2D50">
        <w:rPr>
          <w:rFonts w:eastAsia="Calibri"/>
        </w:rPr>
        <w:t>2</w:t>
      </w:r>
      <w:r w:rsidRPr="00C21ACA">
        <w:rPr>
          <w:rFonts w:eastAsia="Calibri"/>
        </w:rPr>
        <w:t xml:space="preserve">% ukupnih prihoda državnog proračuna. </w:t>
      </w:r>
      <w:r w:rsidR="00A97628" w:rsidRPr="00C21ACA">
        <w:rPr>
          <w:rFonts w:eastAsia="Calibri"/>
        </w:rPr>
        <w:t xml:space="preserve">Međugodišnji rast prihoda poslovanja iznosi </w:t>
      </w:r>
      <w:r w:rsidR="008F2D50">
        <w:rPr>
          <w:rFonts w:eastAsia="Calibri"/>
        </w:rPr>
        <w:t>7,8</w:t>
      </w:r>
      <w:r w:rsidR="00A97628" w:rsidRPr="00C21ACA">
        <w:rPr>
          <w:rFonts w:eastAsia="Calibri"/>
        </w:rPr>
        <w:t xml:space="preserve">%. </w:t>
      </w:r>
      <w:r w:rsidRPr="00C21ACA">
        <w:rPr>
          <w:rFonts w:eastAsia="Calibri"/>
        </w:rPr>
        <w:t xml:space="preserve">U strukturi ovih prihoda najznačajniju stavku čine porezni prihodi s udjelom od </w:t>
      </w:r>
      <w:r w:rsidR="008F2D50">
        <w:rPr>
          <w:rFonts w:eastAsia="Calibri"/>
        </w:rPr>
        <w:t>59,6</w:t>
      </w:r>
      <w:r w:rsidRPr="00C21ACA">
        <w:rPr>
          <w:rFonts w:eastAsia="Calibri"/>
        </w:rPr>
        <w:t xml:space="preserve">%, a slijede prihodi od doprinosa s udjelom od </w:t>
      </w:r>
      <w:r w:rsidR="008F2D50">
        <w:rPr>
          <w:rFonts w:eastAsia="Calibri"/>
        </w:rPr>
        <w:t>17,4</w:t>
      </w:r>
      <w:r w:rsidRPr="00C21ACA">
        <w:rPr>
          <w:rFonts w:eastAsia="Calibri"/>
        </w:rPr>
        <w:t xml:space="preserve">%, dok se preostali dio odnosi na pomoći, prihode od </w:t>
      </w:r>
      <w:r w:rsidRPr="00C21ACA">
        <w:rPr>
          <w:rFonts w:eastAsia="Calibri"/>
        </w:rPr>
        <w:lastRenderedPageBreak/>
        <w:t>imovine, prihode od administrativnih pristojbi i prihode po posebnim propisima,</w:t>
      </w:r>
      <w:r w:rsidR="009E5A34" w:rsidRPr="00C21ACA">
        <w:rPr>
          <w:rFonts w:eastAsia="Calibri"/>
        </w:rPr>
        <w:t xml:space="preserve"> prihode iz nadležnog proračuna i od HZZO-a temeljem ugovornih obveza,</w:t>
      </w:r>
      <w:r w:rsidRPr="00C21ACA">
        <w:rPr>
          <w:rFonts w:eastAsia="Calibri"/>
        </w:rPr>
        <w:t xml:space="preserve"> kazne te ostale prihode. </w:t>
      </w:r>
    </w:p>
    <w:p w:rsidR="00DE3A82" w:rsidRPr="00E94F88" w:rsidRDefault="00DE3A82" w:rsidP="002D7A1F">
      <w:pPr>
        <w:jc w:val="both"/>
        <w:rPr>
          <w:rFonts w:eastAsia="Calibri"/>
        </w:rPr>
      </w:pPr>
    </w:p>
    <w:p w:rsidR="009E6F6A" w:rsidRPr="00C21ACA" w:rsidRDefault="009E6F6A" w:rsidP="002D7A1F">
      <w:pPr>
        <w:jc w:val="both"/>
        <w:rPr>
          <w:rFonts w:eastAsia="Calibri"/>
        </w:rPr>
      </w:pPr>
      <w:r w:rsidRPr="00C21ACA">
        <w:rPr>
          <w:b/>
          <w:bCs/>
          <w:i/>
          <w:iCs/>
        </w:rPr>
        <w:t>Porezni prihodi</w:t>
      </w:r>
      <w:r w:rsidRPr="00C21ACA">
        <w:t xml:space="preserve"> tijekom 201</w:t>
      </w:r>
      <w:r w:rsidR="008F2D50">
        <w:t>9</w:t>
      </w:r>
      <w:r w:rsidRPr="00C21ACA">
        <w:t xml:space="preserve">. godine prikupljeni su u iznosu od </w:t>
      </w:r>
      <w:r w:rsidR="008F2D50">
        <w:t>82,7</w:t>
      </w:r>
      <w:r w:rsidRPr="00C21ACA">
        <w:t xml:space="preserve"> </w:t>
      </w:r>
      <w:r w:rsidR="004F0F2A" w:rsidRPr="00C21ACA">
        <w:t>milijard</w:t>
      </w:r>
      <w:r w:rsidR="004F0F2A">
        <w:t>i</w:t>
      </w:r>
      <w:r w:rsidR="004F0F2A" w:rsidRPr="00C21ACA">
        <w:t xml:space="preserve"> </w:t>
      </w:r>
      <w:r w:rsidRPr="00C21ACA">
        <w:t xml:space="preserve">kuna čime su </w:t>
      </w:r>
      <w:r w:rsidRPr="00C21ACA">
        <w:rPr>
          <w:rFonts w:eastAsia="Calibri"/>
        </w:rPr>
        <w:t xml:space="preserve">zabilježili međugodišnje </w:t>
      </w:r>
      <w:r w:rsidR="0033135B" w:rsidRPr="00C21ACA">
        <w:rPr>
          <w:rFonts w:eastAsia="Calibri"/>
        </w:rPr>
        <w:t>povećanje</w:t>
      </w:r>
      <w:r w:rsidRPr="00C21ACA">
        <w:rPr>
          <w:rFonts w:eastAsia="Calibri"/>
        </w:rPr>
        <w:t xml:space="preserve"> od </w:t>
      </w:r>
      <w:r w:rsidR="008F2D50">
        <w:rPr>
          <w:rFonts w:eastAsia="Calibri"/>
        </w:rPr>
        <w:t>6</w:t>
      </w:r>
      <w:r w:rsidRPr="00C21ACA">
        <w:rPr>
          <w:rFonts w:eastAsia="Calibri"/>
        </w:rPr>
        <w:t xml:space="preserve">%. </w:t>
      </w:r>
      <w:r w:rsidR="009E5A34" w:rsidRPr="00C21ACA">
        <w:rPr>
          <w:rFonts w:eastAsia="Calibri"/>
        </w:rPr>
        <w:t xml:space="preserve">U odnosu na planirane, ovi su </w:t>
      </w:r>
      <w:r w:rsidRPr="00C21ACA">
        <w:rPr>
          <w:rFonts w:eastAsia="Calibri"/>
        </w:rPr>
        <w:t xml:space="preserve">prihodi ostvareni za </w:t>
      </w:r>
      <w:r w:rsidR="008F2D50">
        <w:rPr>
          <w:rFonts w:eastAsia="Calibri"/>
        </w:rPr>
        <w:t>1,4</w:t>
      </w:r>
      <w:r w:rsidRPr="00C21ACA">
        <w:rPr>
          <w:rFonts w:eastAsia="Calibri"/>
        </w:rPr>
        <w:t xml:space="preserve">% </w:t>
      </w:r>
      <w:r w:rsidR="0033135B" w:rsidRPr="00C21ACA">
        <w:rPr>
          <w:rFonts w:eastAsia="Calibri"/>
        </w:rPr>
        <w:t>više</w:t>
      </w:r>
      <w:r w:rsidRPr="00C21ACA">
        <w:rPr>
          <w:rFonts w:eastAsia="Calibri"/>
        </w:rPr>
        <w:t xml:space="preserve">. </w:t>
      </w:r>
    </w:p>
    <w:p w:rsidR="009E6F6A" w:rsidRPr="00C21ACA" w:rsidRDefault="009E6F6A" w:rsidP="002D7A1F">
      <w:pPr>
        <w:jc w:val="both"/>
        <w:rPr>
          <w:rFonts w:eastAsia="Calibri"/>
        </w:rPr>
      </w:pPr>
    </w:p>
    <w:p w:rsidR="00002E89" w:rsidRPr="004F0F2A" w:rsidRDefault="00002E89" w:rsidP="002D7A1F">
      <w:pPr>
        <w:rPr>
          <w:b/>
          <w:bCs/>
          <w:i/>
          <w:iCs/>
        </w:rPr>
      </w:pPr>
      <w:r w:rsidRPr="00C21ACA">
        <w:rPr>
          <w:b/>
          <w:bCs/>
          <w:i/>
          <w:iCs/>
        </w:rPr>
        <w:t>Prihod od poreza na dobit</w:t>
      </w:r>
    </w:p>
    <w:p w:rsidR="00002E89" w:rsidRPr="00C21ACA" w:rsidRDefault="00002E89" w:rsidP="002D7A1F">
      <w:pPr>
        <w:jc w:val="both"/>
        <w:rPr>
          <w:bCs/>
          <w:iCs/>
        </w:rPr>
      </w:pPr>
    </w:p>
    <w:p w:rsidR="00CD5C55" w:rsidRPr="00C21ACA" w:rsidRDefault="00002E89" w:rsidP="002D7A1F">
      <w:pPr>
        <w:jc w:val="both"/>
        <w:rPr>
          <w:rFonts w:eastAsia="Calibri"/>
        </w:rPr>
      </w:pPr>
      <w:r w:rsidRPr="00C21ACA">
        <w:rPr>
          <w:rFonts w:eastAsia="Calibri"/>
        </w:rPr>
        <w:t>Prihod od poreza na dobit u 201</w:t>
      </w:r>
      <w:r w:rsidR="008F2D50">
        <w:rPr>
          <w:rFonts w:eastAsia="Calibri"/>
        </w:rPr>
        <w:t>9</w:t>
      </w:r>
      <w:r w:rsidRPr="00C21ACA">
        <w:rPr>
          <w:rFonts w:eastAsia="Calibri"/>
        </w:rPr>
        <w:t xml:space="preserve">. godini ostvaren je u iznosu od </w:t>
      </w:r>
      <w:r w:rsidR="008F2D50">
        <w:rPr>
          <w:rFonts w:eastAsia="Calibri"/>
        </w:rPr>
        <w:t>9,3</w:t>
      </w:r>
      <w:r w:rsidR="00B31565" w:rsidRPr="00C21ACA">
        <w:rPr>
          <w:rFonts w:eastAsia="Calibri"/>
        </w:rPr>
        <w:t xml:space="preserve"> milijard</w:t>
      </w:r>
      <w:r w:rsidR="008F2D50">
        <w:rPr>
          <w:rFonts w:eastAsia="Calibri"/>
        </w:rPr>
        <w:t>e</w:t>
      </w:r>
      <w:r w:rsidRPr="00C21ACA">
        <w:rPr>
          <w:rFonts w:eastAsia="Calibri"/>
        </w:rPr>
        <w:t xml:space="preserve"> kuna, čime je zabilježeno međugodišnje </w:t>
      </w:r>
      <w:r w:rsidR="00867026" w:rsidRPr="00C21ACA">
        <w:rPr>
          <w:rFonts w:eastAsia="Calibri"/>
        </w:rPr>
        <w:t>povećanje</w:t>
      </w:r>
      <w:r w:rsidRPr="00C21ACA">
        <w:rPr>
          <w:rFonts w:eastAsia="Calibri"/>
        </w:rPr>
        <w:t xml:space="preserve"> po osnovi ovog poreza za </w:t>
      </w:r>
      <w:r w:rsidR="008F2D50">
        <w:rPr>
          <w:rFonts w:eastAsia="Calibri"/>
        </w:rPr>
        <w:t>9,6</w:t>
      </w:r>
      <w:r w:rsidRPr="00C21ACA">
        <w:rPr>
          <w:rFonts w:eastAsia="Calibri"/>
        </w:rPr>
        <w:t xml:space="preserve">%. </w:t>
      </w:r>
    </w:p>
    <w:p w:rsidR="000F32FD" w:rsidRDefault="00095F74" w:rsidP="002D7A1F">
      <w:pPr>
        <w:jc w:val="both"/>
      </w:pPr>
      <w:r w:rsidRPr="00C21ACA">
        <w:t xml:space="preserve">Prikupljeni </w:t>
      </w:r>
      <w:r w:rsidR="00CD5C55" w:rsidRPr="00C21ACA">
        <w:t xml:space="preserve">prihod od </w:t>
      </w:r>
      <w:r w:rsidRPr="00C21ACA">
        <w:t>porez</w:t>
      </w:r>
      <w:r w:rsidR="00CD5C55" w:rsidRPr="00C21ACA">
        <w:t>a</w:t>
      </w:r>
      <w:r w:rsidRPr="00C21ACA">
        <w:t xml:space="preserve"> na dobit</w:t>
      </w:r>
      <w:r w:rsidR="00867026" w:rsidRPr="00C21ACA">
        <w:t xml:space="preserve"> rezultat</w:t>
      </w:r>
      <w:r w:rsidRPr="00C21ACA">
        <w:t xml:space="preserve"> je</w:t>
      </w:r>
      <w:r w:rsidR="00867026" w:rsidRPr="00C21ACA">
        <w:t xml:space="preserve"> poslovanja poduzeća tijekom 201</w:t>
      </w:r>
      <w:r w:rsidR="00A84389">
        <w:t>8</w:t>
      </w:r>
      <w:r w:rsidR="00867026" w:rsidRPr="00C21ACA">
        <w:t>.</w:t>
      </w:r>
      <w:r w:rsidR="00002E89" w:rsidRPr="00C21ACA">
        <w:rPr>
          <w:rFonts w:eastAsia="Calibri"/>
        </w:rPr>
        <w:t>, budući da se porez na dobit uplaćuje prema poslovnim rezultatima</w:t>
      </w:r>
      <w:r w:rsidR="00A84389">
        <w:rPr>
          <w:rFonts w:eastAsia="Calibri"/>
        </w:rPr>
        <w:t xml:space="preserve"> poduzeća u prethodnoj godini</w:t>
      </w:r>
      <w:r w:rsidR="000F32FD" w:rsidRPr="00C21ACA">
        <w:t xml:space="preserve">. </w:t>
      </w:r>
    </w:p>
    <w:p w:rsidR="00A84389" w:rsidRPr="00C21ACA" w:rsidRDefault="00A84389" w:rsidP="002D7A1F">
      <w:pPr>
        <w:jc w:val="both"/>
      </w:pPr>
    </w:p>
    <w:p w:rsidR="00002E89" w:rsidRPr="00C21ACA" w:rsidRDefault="00002E89" w:rsidP="002D7A1F">
      <w:pPr>
        <w:rPr>
          <w:b/>
          <w:bCs/>
          <w:i/>
          <w:iCs/>
        </w:rPr>
      </w:pPr>
      <w:r w:rsidRPr="00C21ACA">
        <w:rPr>
          <w:b/>
          <w:bCs/>
          <w:i/>
          <w:iCs/>
        </w:rPr>
        <w:t>Prihod od poreza na dodanu vrijednost</w:t>
      </w:r>
    </w:p>
    <w:p w:rsidR="00002E89" w:rsidRPr="00CE3AEB" w:rsidRDefault="00002E89" w:rsidP="002D7A1F">
      <w:pPr>
        <w:jc w:val="both"/>
        <w:rPr>
          <w:bCs/>
          <w:iCs/>
        </w:rPr>
      </w:pPr>
    </w:p>
    <w:p w:rsidR="00F2136F" w:rsidRDefault="00002E89" w:rsidP="002D7A1F">
      <w:pPr>
        <w:jc w:val="both"/>
      </w:pPr>
      <w:r w:rsidRPr="00C21ACA">
        <w:rPr>
          <w:rFonts w:eastAsia="Calibri"/>
        </w:rPr>
        <w:t>Tijekom 201</w:t>
      </w:r>
      <w:r w:rsidR="00A84389">
        <w:rPr>
          <w:rFonts w:eastAsia="Calibri"/>
        </w:rPr>
        <w:t>9</w:t>
      </w:r>
      <w:r w:rsidRPr="00C21ACA">
        <w:rPr>
          <w:rFonts w:eastAsia="Calibri"/>
        </w:rPr>
        <w:t xml:space="preserve">. godine </w:t>
      </w:r>
      <w:r w:rsidR="00C41C1B" w:rsidRPr="00C21ACA">
        <w:rPr>
          <w:rFonts w:eastAsia="Calibri"/>
        </w:rPr>
        <w:t>prihod</w:t>
      </w:r>
      <w:r w:rsidRPr="00C21ACA">
        <w:rPr>
          <w:rFonts w:eastAsia="Calibri"/>
        </w:rPr>
        <w:t xml:space="preserve"> od poreza na dodanu vrijednost ostvaren </w:t>
      </w:r>
      <w:r w:rsidR="00C41C1B" w:rsidRPr="00C21ACA">
        <w:rPr>
          <w:rFonts w:eastAsia="Calibri"/>
        </w:rPr>
        <w:t>je</w:t>
      </w:r>
      <w:r w:rsidRPr="00C21ACA">
        <w:rPr>
          <w:rFonts w:eastAsia="Calibri"/>
        </w:rPr>
        <w:t xml:space="preserve"> u iznosu od </w:t>
      </w:r>
      <w:r w:rsidR="00BD5581" w:rsidRPr="00C21ACA">
        <w:rPr>
          <w:rFonts w:eastAsia="Calibri"/>
        </w:rPr>
        <w:t>5</w:t>
      </w:r>
      <w:r w:rsidR="00A84389">
        <w:rPr>
          <w:rFonts w:eastAsia="Calibri"/>
        </w:rPr>
        <w:t>4</w:t>
      </w:r>
      <w:r w:rsidR="00736DD3" w:rsidRPr="00C21ACA">
        <w:rPr>
          <w:rFonts w:eastAsia="Calibri"/>
        </w:rPr>
        <w:t>,</w:t>
      </w:r>
      <w:r w:rsidR="00A84389">
        <w:rPr>
          <w:rFonts w:eastAsia="Calibri"/>
        </w:rPr>
        <w:t>9</w:t>
      </w:r>
      <w:r w:rsidRPr="00C21ACA">
        <w:rPr>
          <w:rFonts w:eastAsia="Calibri"/>
        </w:rPr>
        <w:t xml:space="preserve"> </w:t>
      </w:r>
      <w:r w:rsidR="00EC3633" w:rsidRPr="00C21ACA">
        <w:rPr>
          <w:rFonts w:eastAsia="Calibri"/>
        </w:rPr>
        <w:t>milijard</w:t>
      </w:r>
      <w:r w:rsidR="00736DD3" w:rsidRPr="00C21ACA">
        <w:rPr>
          <w:rFonts w:eastAsia="Calibri"/>
        </w:rPr>
        <w:t>i</w:t>
      </w:r>
      <w:r w:rsidRPr="00C21ACA">
        <w:rPr>
          <w:rFonts w:eastAsia="Calibri"/>
        </w:rPr>
        <w:t xml:space="preserve"> kuna, što je </w:t>
      </w:r>
      <w:r w:rsidR="00C75A1B" w:rsidRPr="00C21ACA">
        <w:rPr>
          <w:rFonts w:eastAsia="Calibri"/>
        </w:rPr>
        <w:t>povećanje</w:t>
      </w:r>
      <w:r w:rsidR="00EC3633" w:rsidRPr="00C21ACA">
        <w:rPr>
          <w:rFonts w:eastAsia="Calibri"/>
        </w:rPr>
        <w:t xml:space="preserve"> za </w:t>
      </w:r>
      <w:r w:rsidR="00A84389">
        <w:rPr>
          <w:rFonts w:eastAsia="Calibri"/>
        </w:rPr>
        <w:t>6,5</w:t>
      </w:r>
      <w:r w:rsidRPr="00C21ACA">
        <w:rPr>
          <w:rFonts w:eastAsia="Calibri"/>
        </w:rPr>
        <w:t>% u odnosu na prethodnu godinu</w:t>
      </w:r>
      <w:r w:rsidR="00C41C1B" w:rsidRPr="00C21ACA">
        <w:rPr>
          <w:rFonts w:eastAsia="Calibri"/>
        </w:rPr>
        <w:t xml:space="preserve">. </w:t>
      </w:r>
      <w:r w:rsidR="00CE3AEB" w:rsidRPr="00CE3AEB">
        <w:rPr>
          <w:rFonts w:eastAsia="Calibri"/>
        </w:rPr>
        <w:t>Prikupljeni prihodi od PDV-a rezultat su povećanja osobne potrošnje uslijed rasta raspoloživog dohotka stanovništva</w:t>
      </w:r>
      <w:r w:rsidR="009D7ACB">
        <w:rPr>
          <w:rFonts w:eastAsia="Calibri"/>
        </w:rPr>
        <w:t xml:space="preserve">, </w:t>
      </w:r>
      <w:r w:rsidR="00CE3AEB" w:rsidRPr="00CE3AEB">
        <w:rPr>
          <w:rFonts w:eastAsia="Calibri"/>
        </w:rPr>
        <w:t>potpomognut</w:t>
      </w:r>
      <w:r w:rsidR="009D7ACB">
        <w:rPr>
          <w:rFonts w:eastAsia="Calibri"/>
        </w:rPr>
        <w:t>o</w:t>
      </w:r>
      <w:r w:rsidR="00CE3AEB" w:rsidRPr="00CE3AEB">
        <w:rPr>
          <w:rFonts w:eastAsia="Calibri"/>
        </w:rPr>
        <w:t xml:space="preserve"> povoljnim kretanjima na tržištu rada te uspješnom turističkom sezonom.</w:t>
      </w:r>
      <w:r w:rsidR="009D7ACB">
        <w:rPr>
          <w:rFonts w:eastAsia="Calibri"/>
        </w:rPr>
        <w:t xml:space="preserve"> </w:t>
      </w:r>
      <w:r w:rsidR="00CD5C55" w:rsidRPr="00C21ACA">
        <w:t>Iako su u sustavu poreza na dodanu vrijednost, od početka 201</w:t>
      </w:r>
      <w:r w:rsidR="00A84389">
        <w:t>9</w:t>
      </w:r>
      <w:r w:rsidR="00CD5C55" w:rsidRPr="00C21ACA">
        <w:t>. u primjeni ranije navedena porezna rasterećenja</w:t>
      </w:r>
      <w:r w:rsidR="00A84389">
        <w:t xml:space="preserve"> </w:t>
      </w:r>
      <w:r w:rsidR="00A84389" w:rsidRPr="00B62F16">
        <w:t>(</w:t>
      </w:r>
      <w:r w:rsidR="00A84389">
        <w:t>smanjena stopa</w:t>
      </w:r>
      <w:r w:rsidR="00A84389" w:rsidRPr="00B62F16">
        <w:t xml:space="preserve"> PDV-a s na 13%</w:t>
      </w:r>
      <w:r w:rsidR="004F0F2A">
        <w:t xml:space="preserve"> odnosno na 5% za pojedine proizvode)</w:t>
      </w:r>
      <w:r w:rsidR="00CD5C55" w:rsidRPr="00C21ACA">
        <w:t xml:space="preserve">, prihodi od poreza na dodanu vrijednost na međugodišnjoj razini </w:t>
      </w:r>
      <w:r w:rsidR="009D7ACB">
        <w:t>zabilježili su</w:t>
      </w:r>
      <w:r w:rsidR="009D7ACB" w:rsidRPr="00C21ACA">
        <w:t xml:space="preserve"> </w:t>
      </w:r>
      <w:r w:rsidR="00CD5C55" w:rsidRPr="00C21ACA">
        <w:t xml:space="preserve">visoku stopu rasta. </w:t>
      </w:r>
      <w:bookmarkStart w:id="1" w:name="_Toc134353527"/>
    </w:p>
    <w:p w:rsidR="00213CCE" w:rsidRDefault="00213CCE" w:rsidP="002D7A1F">
      <w:pPr>
        <w:jc w:val="both"/>
      </w:pPr>
    </w:p>
    <w:p w:rsidR="00A84389" w:rsidRPr="00213CCE" w:rsidRDefault="00002E89" w:rsidP="002D7A1F">
      <w:pPr>
        <w:rPr>
          <w:i/>
        </w:rPr>
      </w:pPr>
      <w:r w:rsidRPr="00213CCE">
        <w:rPr>
          <w:i/>
        </w:rPr>
        <w:t>Grafikon 1. Kretanje prihoda od poreza na dodanu vrijednost u 201</w:t>
      </w:r>
      <w:r w:rsidR="00A84389" w:rsidRPr="00213CCE">
        <w:rPr>
          <w:i/>
        </w:rPr>
        <w:t>8</w:t>
      </w:r>
      <w:r w:rsidRPr="00213CCE">
        <w:rPr>
          <w:i/>
        </w:rPr>
        <w:t>. i 201</w:t>
      </w:r>
      <w:bookmarkEnd w:id="1"/>
      <w:r w:rsidR="00A84389" w:rsidRPr="00213CCE">
        <w:rPr>
          <w:i/>
        </w:rPr>
        <w:t>9</w:t>
      </w:r>
      <w:r w:rsidR="00F2136F" w:rsidRPr="00213CCE">
        <w:rPr>
          <w:i/>
        </w:rPr>
        <w:t>.</w:t>
      </w:r>
      <w:r w:rsidR="00A84389" w:rsidRPr="00213CCE">
        <w:rPr>
          <w:i/>
        </w:rPr>
        <w:t xml:space="preserve"> </w:t>
      </w:r>
    </w:p>
    <w:p w:rsidR="001C5685" w:rsidRDefault="0092324A" w:rsidP="002D7A1F">
      <w:pPr>
        <w:rPr>
          <w:i/>
        </w:rPr>
      </w:pPr>
      <w:r>
        <w:rPr>
          <w:i/>
          <w:noProof/>
        </w:rPr>
        <w:drawing>
          <wp:inline distT="0" distB="0" distL="0" distR="0" wp14:anchorId="47EF8250" wp14:editId="4A672462">
            <wp:extent cx="4813300" cy="2435225"/>
            <wp:effectExtent l="0" t="0" r="6350" b="3175"/>
            <wp:docPr id="1"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3300" cy="2435225"/>
                    </a:xfrm>
                    <a:prstGeom prst="rect">
                      <a:avLst/>
                    </a:prstGeom>
                    <a:noFill/>
                  </pic:spPr>
                </pic:pic>
              </a:graphicData>
            </a:graphic>
          </wp:inline>
        </w:drawing>
      </w:r>
    </w:p>
    <w:p w:rsidR="00213CCE" w:rsidRDefault="00213CCE" w:rsidP="002D7A1F">
      <w:pPr>
        <w:rPr>
          <w:b/>
          <w:bCs/>
          <w:i/>
          <w:iCs/>
        </w:rPr>
      </w:pPr>
    </w:p>
    <w:p w:rsidR="00FC22D0" w:rsidRDefault="00FC22D0" w:rsidP="002D7A1F">
      <w:pPr>
        <w:rPr>
          <w:b/>
          <w:bCs/>
          <w:i/>
          <w:iCs/>
        </w:rPr>
      </w:pPr>
      <w:r w:rsidRPr="00C21ACA">
        <w:rPr>
          <w:b/>
          <w:bCs/>
          <w:i/>
          <w:iCs/>
        </w:rPr>
        <w:t xml:space="preserve">Porez na promet </w:t>
      </w:r>
    </w:p>
    <w:p w:rsidR="00CE3AEB" w:rsidRPr="00E94F88" w:rsidRDefault="00CE3AEB" w:rsidP="002D7A1F">
      <w:pPr>
        <w:jc w:val="both"/>
        <w:rPr>
          <w:bCs/>
          <w:iCs/>
        </w:rPr>
      </w:pPr>
    </w:p>
    <w:p w:rsidR="00CD5C55" w:rsidRPr="00C21ACA" w:rsidRDefault="00FC22D0" w:rsidP="002D7A1F">
      <w:pPr>
        <w:jc w:val="both"/>
      </w:pPr>
      <w:r w:rsidRPr="00C21ACA">
        <w:t>Prihod od poreza na promet u 201</w:t>
      </w:r>
      <w:r w:rsidR="006A05FE">
        <w:t>9</w:t>
      </w:r>
      <w:r w:rsidRPr="00C21ACA">
        <w:t xml:space="preserve">. godini ostvaren je u iznosu od </w:t>
      </w:r>
      <w:r w:rsidR="006A05FE">
        <w:t>2,4</w:t>
      </w:r>
      <w:r w:rsidRPr="00C21ACA">
        <w:t xml:space="preserve"> milijun</w:t>
      </w:r>
      <w:r w:rsidR="002276EE" w:rsidRPr="00C21ACA">
        <w:t>a</w:t>
      </w:r>
      <w:r w:rsidRPr="00C21ACA">
        <w:t xml:space="preserve"> kuna</w:t>
      </w:r>
      <w:r w:rsidR="009D7ACB">
        <w:t>, što</w:t>
      </w:r>
      <w:r w:rsidR="00CD5C55" w:rsidRPr="00C21ACA">
        <w:t xml:space="preserve"> je </w:t>
      </w:r>
      <w:r w:rsidR="006A05FE">
        <w:t>dvostruko</w:t>
      </w:r>
      <w:r w:rsidR="00CD5C55" w:rsidRPr="00C21ACA">
        <w:t xml:space="preserve"> manje nego li prethodne godine. Naime, od 2018. godine ukinut je porez na stjecanje rabljenih motornih vozila te je isti zamijenjen upravnim pristojbama koje se naplaćuju kod stjecanja rabljenih vozila. Iznos koji je ostvaren na stavci poreza na promet, odnosi se na naplatu dugovanja po osnovi poreza na stjecanje rabljenih motornih vozila. </w:t>
      </w:r>
    </w:p>
    <w:p w:rsidR="0056554A" w:rsidRPr="00C21ACA" w:rsidRDefault="0056554A" w:rsidP="002D7A1F">
      <w:pPr>
        <w:jc w:val="both"/>
        <w:rPr>
          <w:rFonts w:eastAsia="Calibri"/>
        </w:rPr>
      </w:pPr>
    </w:p>
    <w:p w:rsidR="001C5685" w:rsidRPr="00C21ACA" w:rsidRDefault="001C5685" w:rsidP="002D7A1F">
      <w:pPr>
        <w:keepNext/>
        <w:rPr>
          <w:b/>
        </w:rPr>
      </w:pPr>
      <w:r w:rsidRPr="00C21ACA">
        <w:rPr>
          <w:b/>
          <w:bCs/>
          <w:i/>
          <w:iCs/>
        </w:rPr>
        <w:lastRenderedPageBreak/>
        <w:t>Prihod od posebnih poreza i trošarina</w:t>
      </w:r>
    </w:p>
    <w:p w:rsidR="001C5685" w:rsidRPr="00E94F88" w:rsidRDefault="001C5685" w:rsidP="002D7A1F">
      <w:pPr>
        <w:keepNext/>
        <w:jc w:val="both"/>
        <w:rPr>
          <w:bCs/>
          <w:iCs/>
        </w:rPr>
      </w:pPr>
    </w:p>
    <w:p w:rsidR="00247449" w:rsidRPr="00C21ACA" w:rsidRDefault="001C5685" w:rsidP="002D7A1F">
      <w:pPr>
        <w:keepNext/>
        <w:jc w:val="both"/>
      </w:pPr>
      <w:r w:rsidRPr="00C21ACA">
        <w:rPr>
          <w:rFonts w:eastAsia="Calibri"/>
        </w:rPr>
        <w:t>Ukupni prihodi od posebnih poreza i trošarina u 201</w:t>
      </w:r>
      <w:r w:rsidR="006A05FE">
        <w:rPr>
          <w:rFonts w:eastAsia="Calibri"/>
        </w:rPr>
        <w:t>9</w:t>
      </w:r>
      <w:r w:rsidRPr="00C21ACA">
        <w:rPr>
          <w:rFonts w:eastAsia="Calibri"/>
        </w:rPr>
        <w:t xml:space="preserve">. godini ostvareni su u iznosu od </w:t>
      </w:r>
      <w:r w:rsidR="002276EE" w:rsidRPr="00C21ACA">
        <w:rPr>
          <w:rFonts w:eastAsia="Calibri"/>
        </w:rPr>
        <w:t>1</w:t>
      </w:r>
      <w:r w:rsidR="006A05FE">
        <w:rPr>
          <w:rFonts w:eastAsia="Calibri"/>
        </w:rPr>
        <w:t>6</w:t>
      </w:r>
      <w:r w:rsidR="00736DD3" w:rsidRPr="00C21ACA">
        <w:rPr>
          <w:rFonts w:eastAsia="Calibri"/>
        </w:rPr>
        <w:t>,</w:t>
      </w:r>
      <w:r w:rsidR="006A05FE">
        <w:rPr>
          <w:rFonts w:eastAsia="Calibri"/>
        </w:rPr>
        <w:t>3</w:t>
      </w:r>
      <w:r w:rsidRPr="00C21ACA">
        <w:rPr>
          <w:rFonts w:eastAsia="Calibri"/>
        </w:rPr>
        <w:t xml:space="preserve"> </w:t>
      </w:r>
      <w:r w:rsidR="0047335A" w:rsidRPr="00C21ACA">
        <w:rPr>
          <w:rFonts w:eastAsia="Calibri"/>
        </w:rPr>
        <w:t>milijard</w:t>
      </w:r>
      <w:r w:rsidR="006A05FE">
        <w:rPr>
          <w:rFonts w:eastAsia="Calibri"/>
        </w:rPr>
        <w:t>e</w:t>
      </w:r>
      <w:r w:rsidRPr="00C21ACA">
        <w:rPr>
          <w:rFonts w:eastAsia="Calibri"/>
        </w:rPr>
        <w:t xml:space="preserve"> kuna</w:t>
      </w:r>
      <w:r w:rsidR="00F2136F">
        <w:rPr>
          <w:rFonts w:eastAsia="Calibri"/>
        </w:rPr>
        <w:t xml:space="preserve"> ili</w:t>
      </w:r>
      <w:r w:rsidRPr="00C21ACA">
        <w:rPr>
          <w:rFonts w:eastAsia="Calibri"/>
        </w:rPr>
        <w:t xml:space="preserve"> </w:t>
      </w:r>
      <w:r w:rsidR="006A05FE">
        <w:rPr>
          <w:rFonts w:eastAsia="Calibri"/>
        </w:rPr>
        <w:t>2,5</w:t>
      </w:r>
      <w:r w:rsidR="00A67C5A" w:rsidRPr="00C21ACA">
        <w:rPr>
          <w:rFonts w:eastAsia="Calibri"/>
        </w:rPr>
        <w:t xml:space="preserve">% </w:t>
      </w:r>
      <w:r w:rsidR="00F2136F">
        <w:rPr>
          <w:rFonts w:eastAsia="Calibri"/>
        </w:rPr>
        <w:t xml:space="preserve">više </w:t>
      </w:r>
      <w:r w:rsidR="00A67C5A" w:rsidRPr="00C21ACA">
        <w:rPr>
          <w:rFonts w:eastAsia="Calibri"/>
        </w:rPr>
        <w:t xml:space="preserve">na međugodišnjoj razini </w:t>
      </w:r>
      <w:r w:rsidR="00F2136F">
        <w:rPr>
          <w:rFonts w:eastAsia="Calibri"/>
        </w:rPr>
        <w:t>odnosno</w:t>
      </w:r>
      <w:r w:rsidR="00E43A80" w:rsidRPr="00C21ACA">
        <w:rPr>
          <w:rFonts w:eastAsia="Calibri"/>
        </w:rPr>
        <w:t xml:space="preserve"> 0,</w:t>
      </w:r>
      <w:r w:rsidR="006A05FE">
        <w:rPr>
          <w:rFonts w:eastAsia="Calibri"/>
        </w:rPr>
        <w:t>4</w:t>
      </w:r>
      <w:r w:rsidR="00E43A80" w:rsidRPr="00C21ACA">
        <w:rPr>
          <w:rFonts w:eastAsia="Calibri"/>
        </w:rPr>
        <w:t>% više od plana</w:t>
      </w:r>
      <w:r w:rsidR="00552159" w:rsidRPr="00C21ACA">
        <w:rPr>
          <w:rFonts w:eastAsia="Calibri"/>
        </w:rPr>
        <w:t xml:space="preserve">. </w:t>
      </w:r>
      <w:r w:rsidR="00F2136F">
        <w:rPr>
          <w:rFonts w:eastAsia="Calibri"/>
        </w:rPr>
        <w:t>Tijekom</w:t>
      </w:r>
      <w:r w:rsidR="00A61F9F" w:rsidRPr="00C21ACA">
        <w:rPr>
          <w:rFonts w:eastAsia="Calibri"/>
        </w:rPr>
        <w:t xml:space="preserve"> godine </w:t>
      </w:r>
      <w:r w:rsidR="00F2136F">
        <w:rPr>
          <w:rFonts w:eastAsia="Calibri"/>
        </w:rPr>
        <w:t xml:space="preserve">ovi prihodi su </w:t>
      </w:r>
      <w:r w:rsidR="00A61F9F" w:rsidRPr="00C21ACA">
        <w:rPr>
          <w:rFonts w:eastAsia="Calibri"/>
        </w:rPr>
        <w:t>bili određeni kretanjem isporučenih količina trošarinsk</w:t>
      </w:r>
      <w:r w:rsidR="00A67C5A" w:rsidRPr="00C21ACA">
        <w:rPr>
          <w:rFonts w:eastAsia="Calibri"/>
        </w:rPr>
        <w:t>ih roba</w:t>
      </w:r>
      <w:r w:rsidR="00A61F9F" w:rsidRPr="00C21ACA">
        <w:rPr>
          <w:rFonts w:eastAsia="Calibri"/>
        </w:rPr>
        <w:t xml:space="preserve"> te </w:t>
      </w:r>
      <w:r w:rsidR="00B57170" w:rsidRPr="00C21ACA">
        <w:rPr>
          <w:rFonts w:eastAsia="Calibri"/>
        </w:rPr>
        <w:t>učinkom poreznih izmjena</w:t>
      </w:r>
      <w:r w:rsidR="00A61F9F" w:rsidRPr="00C21ACA">
        <w:rPr>
          <w:rFonts w:eastAsia="Calibri"/>
        </w:rPr>
        <w:t>.</w:t>
      </w:r>
      <w:r w:rsidR="00E43A80" w:rsidRPr="00C21ACA">
        <w:rPr>
          <w:rFonts w:eastAsia="Calibri"/>
        </w:rPr>
        <w:t xml:space="preserve"> </w:t>
      </w:r>
    </w:p>
    <w:p w:rsidR="006A05FE" w:rsidRPr="00C21ACA" w:rsidRDefault="00247449" w:rsidP="002D7A1F">
      <w:pPr>
        <w:jc w:val="both"/>
      </w:pPr>
      <w:r w:rsidRPr="00C21ACA">
        <w:rPr>
          <w:rFonts w:eastAsia="Calibri"/>
        </w:rPr>
        <w:t xml:space="preserve">Najznačajniji prihod </w:t>
      </w:r>
      <w:r w:rsidR="00F2136F">
        <w:rPr>
          <w:rFonts w:eastAsia="Calibri"/>
        </w:rPr>
        <w:t xml:space="preserve">u ukupnim trošarinama </w:t>
      </w:r>
      <w:r w:rsidR="00E82A82">
        <w:rPr>
          <w:rFonts w:eastAsia="Calibri"/>
        </w:rPr>
        <w:t>jest prihod</w:t>
      </w:r>
      <w:r w:rsidR="009D7ACB" w:rsidRPr="00C21ACA">
        <w:rPr>
          <w:rFonts w:eastAsia="Calibri"/>
        </w:rPr>
        <w:t xml:space="preserve"> od trošarina na energente i električnu energiju </w:t>
      </w:r>
      <w:r w:rsidRPr="00C21ACA">
        <w:rPr>
          <w:rFonts w:eastAsia="Calibri"/>
        </w:rPr>
        <w:t xml:space="preserve">s udjelom od </w:t>
      </w:r>
      <w:r w:rsidR="006A05FE">
        <w:rPr>
          <w:rFonts w:eastAsia="Calibri"/>
        </w:rPr>
        <w:t>53,9</w:t>
      </w:r>
      <w:r w:rsidRPr="00C21ACA">
        <w:rPr>
          <w:rFonts w:eastAsia="Calibri"/>
        </w:rPr>
        <w:t>%, a ostvaren</w:t>
      </w:r>
      <w:r w:rsidR="00E82A82">
        <w:rPr>
          <w:rFonts w:eastAsia="Calibri"/>
        </w:rPr>
        <w:t xml:space="preserve"> je </w:t>
      </w:r>
      <w:r w:rsidRPr="00C21ACA">
        <w:rPr>
          <w:rFonts w:eastAsia="Calibri"/>
        </w:rPr>
        <w:t>u iznosu od 8,</w:t>
      </w:r>
      <w:r w:rsidR="006A05FE">
        <w:rPr>
          <w:rFonts w:eastAsia="Calibri"/>
        </w:rPr>
        <w:t>8</w:t>
      </w:r>
      <w:r w:rsidR="00E43A80" w:rsidRPr="00C21ACA">
        <w:rPr>
          <w:rFonts w:eastAsia="Calibri"/>
        </w:rPr>
        <w:t xml:space="preserve"> milijardi</w:t>
      </w:r>
      <w:r w:rsidRPr="00C21ACA">
        <w:rPr>
          <w:rFonts w:eastAsia="Calibri"/>
        </w:rPr>
        <w:t xml:space="preserve"> kuna. </w:t>
      </w:r>
      <w:r w:rsidR="00F2136F">
        <w:t>N</w:t>
      </w:r>
      <w:r w:rsidR="00F2136F" w:rsidRPr="00C21ACA">
        <w:t>a međugodišnjoj razini</w:t>
      </w:r>
      <w:r w:rsidR="00F2136F" w:rsidRPr="00C21ACA">
        <w:rPr>
          <w:rFonts w:eastAsia="Calibri"/>
        </w:rPr>
        <w:t xml:space="preserve"> </w:t>
      </w:r>
      <w:r w:rsidR="00F2136F" w:rsidRPr="00C21ACA">
        <w:t>rast</w:t>
      </w:r>
      <w:r w:rsidR="00E82A82">
        <w:t>e</w:t>
      </w:r>
      <w:r w:rsidR="00F2136F" w:rsidRPr="00C21ACA">
        <w:t xml:space="preserve"> za </w:t>
      </w:r>
      <w:r w:rsidR="006A05FE">
        <w:t>1,6</w:t>
      </w:r>
      <w:r w:rsidR="00F2136F" w:rsidRPr="00C21ACA">
        <w:t>%</w:t>
      </w:r>
      <w:r w:rsidRPr="00C21ACA">
        <w:t>, a nj</w:t>
      </w:r>
      <w:r w:rsidR="00E82A82">
        <w:t>egovo</w:t>
      </w:r>
      <w:r w:rsidRPr="00C21ACA">
        <w:t xml:space="preserve"> ostvarenje rezultat je </w:t>
      </w:r>
      <w:r w:rsidR="00BA1C42" w:rsidRPr="00C21ACA">
        <w:t xml:space="preserve">povećane </w:t>
      </w:r>
      <w:r w:rsidRPr="00C21ACA">
        <w:t xml:space="preserve">potrošnje energenata. </w:t>
      </w:r>
      <w:r w:rsidR="006A05FE">
        <w:t xml:space="preserve">Početkom 2019. godine uveden je </w:t>
      </w:r>
      <w:r w:rsidR="006A05FE" w:rsidRPr="00C66EA9">
        <w:t>povrat dijela plaćene trošarine na energente (dizelsko gorivo) koji se koriste kao pogonsko gorivo za komercijalni prijevoz robe kamionima od najmanje 7,5 bruto tona nosivosti</w:t>
      </w:r>
      <w:r w:rsidR="006A05FE">
        <w:t>, te prijevoz autobusima</w:t>
      </w:r>
      <w:r w:rsidR="006A05FE" w:rsidRPr="00C66EA9">
        <w:t>.</w:t>
      </w:r>
      <w:r w:rsidR="006A05FE">
        <w:t xml:space="preserve"> </w:t>
      </w:r>
      <w:r w:rsidR="006A05FE" w:rsidRPr="00C66EA9">
        <w:t>Cilj je u najvećoj mjeri isključiti utjecaj trošarine na energente u pro</w:t>
      </w:r>
      <w:r w:rsidR="006A05FE">
        <w:t>cesu distribucije i dobave robe te prijevoza putnika,</w:t>
      </w:r>
      <w:r w:rsidR="006A05FE" w:rsidRPr="00C66EA9">
        <w:t xml:space="preserve"> odnosno smanjenje troškova prijevoznika</w:t>
      </w:r>
      <w:r w:rsidR="006A05FE" w:rsidRPr="003F35A1">
        <w:t>. Usprkos poreznom rasterećenju, tijekom 2019. trošarine na energente i električnu energiju kao najvažniji trošarinski prihod, bilježe rast, a osnovni razlog tome jest dobra turistička sezona.</w:t>
      </w:r>
    </w:p>
    <w:p w:rsidR="00F72AD9" w:rsidRPr="00F72AD9" w:rsidRDefault="00247449" w:rsidP="002D7A1F">
      <w:pPr>
        <w:jc w:val="both"/>
      </w:pPr>
      <w:r w:rsidRPr="00C21ACA">
        <w:rPr>
          <w:rFonts w:eastAsia="Calibri"/>
        </w:rPr>
        <w:t>Drugi po važnosti u ukupnim trošarinama jest prihod od trošarina na duhanske proizvode koji</w:t>
      </w:r>
      <w:r w:rsidRPr="00C21ACA">
        <w:t xml:space="preserve"> je tijekom 201</w:t>
      </w:r>
      <w:r w:rsidR="00F72AD9">
        <w:t>9</w:t>
      </w:r>
      <w:r w:rsidRPr="00C21ACA">
        <w:t xml:space="preserve">. godine ostvaren u iznosu od </w:t>
      </w:r>
      <w:r w:rsidR="00F72AD9">
        <w:t>5,1</w:t>
      </w:r>
      <w:r w:rsidR="00E43A80" w:rsidRPr="00C21ACA">
        <w:t xml:space="preserve"> milijard</w:t>
      </w:r>
      <w:r w:rsidR="00F72AD9">
        <w:t>u</w:t>
      </w:r>
      <w:r w:rsidRPr="00C21ACA">
        <w:t xml:space="preserve"> kuna i bilježi međugodišnj</w:t>
      </w:r>
      <w:r w:rsidR="00BA1C42" w:rsidRPr="00C21ACA">
        <w:t>e</w:t>
      </w:r>
      <w:r w:rsidRPr="00C21ACA">
        <w:t xml:space="preserve"> </w:t>
      </w:r>
      <w:r w:rsidR="00261FCC" w:rsidRPr="00C21ACA">
        <w:t>povećanje</w:t>
      </w:r>
      <w:r w:rsidRPr="00C21ACA">
        <w:t xml:space="preserve"> od </w:t>
      </w:r>
      <w:r w:rsidR="00F72AD9">
        <w:t>6,3</w:t>
      </w:r>
      <w:r w:rsidRPr="00C21ACA">
        <w:t>%.</w:t>
      </w:r>
      <w:r w:rsidR="00261FCC" w:rsidRPr="00C21ACA">
        <w:t xml:space="preserve"> Ovaj trošarinski prihod ujedno je dao i najveći doprinos ukupnom rastu trošarina. </w:t>
      </w:r>
      <w:r w:rsidR="00F72AD9" w:rsidRPr="00B62F16">
        <w:t xml:space="preserve">U </w:t>
      </w:r>
      <w:r w:rsidR="00F72AD9">
        <w:t>studenom</w:t>
      </w:r>
      <w:r w:rsidR="00F72AD9" w:rsidRPr="00B62F16">
        <w:t xml:space="preserve"> 2018. godine izmijenjena je visina trošarina na duhanske proizvode, </w:t>
      </w:r>
      <w:r w:rsidR="00F72AD9">
        <w:t>budući</w:t>
      </w:r>
      <w:r w:rsidR="00A449B4">
        <w:t xml:space="preserve"> da</w:t>
      </w:r>
      <w:r w:rsidR="00F72AD9">
        <w:t xml:space="preserve"> je prosječna ponderirana maloprodajna cijena cigareta pala ispod 60 eura.</w:t>
      </w:r>
      <w:r w:rsidR="00F72AD9" w:rsidRPr="00F72AD9">
        <w:t xml:space="preserve"> </w:t>
      </w:r>
    </w:p>
    <w:p w:rsidR="0019211D" w:rsidRDefault="0019211D" w:rsidP="002D7A1F">
      <w:pPr>
        <w:jc w:val="both"/>
      </w:pPr>
      <w:r>
        <w:t>P</w:t>
      </w:r>
      <w:r w:rsidR="004B6266" w:rsidRPr="00C21ACA">
        <w:t>oseban porez na osobne automobile, ostala motorna vozila, plovila i zrakoplove u 201</w:t>
      </w:r>
      <w:r w:rsidR="00F72AD9">
        <w:t>9</w:t>
      </w:r>
      <w:r w:rsidR="004B6266" w:rsidRPr="00C21ACA">
        <w:t>. godin</w:t>
      </w:r>
      <w:r w:rsidR="00552159" w:rsidRPr="00C21ACA">
        <w:t>i</w:t>
      </w:r>
      <w:r w:rsidR="004B6266" w:rsidRPr="00C21ACA">
        <w:t xml:space="preserve"> </w:t>
      </w:r>
      <w:r w:rsidR="009D7ACB">
        <w:t xml:space="preserve">ostvaren je u iznosu od 1,2 milijarde kuna </w:t>
      </w:r>
      <w:r w:rsidR="00F72AD9">
        <w:t>čime se zadržao na prošlogodišnjoj razini.</w:t>
      </w:r>
      <w:r w:rsidR="00BA1C42" w:rsidRPr="00C21ACA">
        <w:t xml:space="preserve"> </w:t>
      </w:r>
    </w:p>
    <w:p w:rsidR="006A05FE" w:rsidRDefault="00BA1C42" w:rsidP="002D7A1F">
      <w:pPr>
        <w:jc w:val="both"/>
        <w:rPr>
          <w:rFonts w:eastAsia="Calibri"/>
        </w:rPr>
      </w:pPr>
      <w:r w:rsidRPr="00C21ACA">
        <w:t xml:space="preserve">Prihod od trošarina na pivo na međugodišnjoj razini </w:t>
      </w:r>
      <w:r w:rsidR="00F72AD9">
        <w:t>smanjen je za</w:t>
      </w:r>
      <w:r w:rsidRPr="00C21ACA">
        <w:t xml:space="preserve"> </w:t>
      </w:r>
      <w:r w:rsidR="00F72AD9">
        <w:t>5,7</w:t>
      </w:r>
      <w:r w:rsidR="0019211D">
        <w:t xml:space="preserve">%, prihod od trošarina na alkohol i alkoholna pića </w:t>
      </w:r>
      <w:r w:rsidR="00F72AD9">
        <w:t>za 1,2</w:t>
      </w:r>
      <w:r w:rsidR="0019211D">
        <w:t xml:space="preserve">%, poseban porez na bezalkoholna pića </w:t>
      </w:r>
      <w:r w:rsidR="00F72AD9">
        <w:t>3,3</w:t>
      </w:r>
      <w:r w:rsidR="0019211D">
        <w:t xml:space="preserve">% </w:t>
      </w:r>
      <w:r w:rsidR="00F72AD9">
        <w:t>dok</w:t>
      </w:r>
      <w:r w:rsidR="00A449B4">
        <w:t xml:space="preserve"> prihod od poseb</w:t>
      </w:r>
      <w:r w:rsidR="0019211D">
        <w:t>n</w:t>
      </w:r>
      <w:r w:rsidR="00A449B4">
        <w:t>og</w:t>
      </w:r>
      <w:r w:rsidR="0019211D">
        <w:t xml:space="preserve"> porez</w:t>
      </w:r>
      <w:r w:rsidR="00A449B4">
        <w:t>a</w:t>
      </w:r>
      <w:r w:rsidR="0019211D">
        <w:t xml:space="preserve"> na kavu</w:t>
      </w:r>
      <w:r w:rsidR="00F72AD9">
        <w:t xml:space="preserve"> raste za</w:t>
      </w:r>
      <w:r w:rsidR="0019211D">
        <w:t xml:space="preserve"> 2</w:t>
      </w:r>
      <w:r w:rsidR="00F72AD9">
        <w:t>,3</w:t>
      </w:r>
      <w:r w:rsidR="0019211D">
        <w:t>%.</w:t>
      </w:r>
      <w:bookmarkStart w:id="2" w:name="_Toc134353534"/>
    </w:p>
    <w:p w:rsidR="006A05FE" w:rsidRPr="00E94F88" w:rsidRDefault="006A05FE" w:rsidP="002D7A1F">
      <w:pPr>
        <w:jc w:val="both"/>
        <w:rPr>
          <w:rFonts w:eastAsia="Calibri"/>
        </w:rPr>
      </w:pPr>
    </w:p>
    <w:p w:rsidR="001C5685" w:rsidRPr="00213CCE" w:rsidRDefault="001C5685" w:rsidP="002D7A1F">
      <w:pPr>
        <w:rPr>
          <w:i/>
        </w:rPr>
      </w:pPr>
      <w:r w:rsidRPr="00213CCE">
        <w:rPr>
          <w:i/>
        </w:rPr>
        <w:t>Tablica 2. Posebni porezi i trošarine u 201</w:t>
      </w:r>
      <w:r w:rsidR="00F72AD9" w:rsidRPr="00213CCE">
        <w:rPr>
          <w:i/>
        </w:rPr>
        <w:t>8</w:t>
      </w:r>
      <w:r w:rsidRPr="00213CCE">
        <w:rPr>
          <w:i/>
        </w:rPr>
        <w:t>. i 201</w:t>
      </w:r>
      <w:r w:rsidR="00F72AD9" w:rsidRPr="00213CCE">
        <w:rPr>
          <w:i/>
        </w:rPr>
        <w:t>9</w:t>
      </w:r>
      <w:r w:rsidRPr="00213CCE">
        <w:rPr>
          <w:i/>
        </w:rPr>
        <w:t xml:space="preserve">. </w:t>
      </w:r>
      <w:r w:rsidR="00497463" w:rsidRPr="00213CCE">
        <w:rPr>
          <w:i/>
        </w:rPr>
        <w:t>g</w:t>
      </w:r>
      <w:r w:rsidRPr="00213CCE">
        <w:rPr>
          <w:i/>
        </w:rPr>
        <w:t>odini</w:t>
      </w:r>
      <w:bookmarkEnd w:id="2"/>
    </w:p>
    <w:p w:rsidR="00E21F78" w:rsidRPr="00C21ACA" w:rsidRDefault="0092324A" w:rsidP="002D7A1F">
      <w:pPr>
        <w:rPr>
          <w:b/>
        </w:rPr>
      </w:pPr>
      <w:r>
        <w:rPr>
          <w:noProof/>
        </w:rPr>
        <w:drawing>
          <wp:inline distT="0" distB="0" distL="0" distR="0" wp14:anchorId="71EB9DF6" wp14:editId="7717E8D0">
            <wp:extent cx="4895850" cy="20383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5850" cy="2038350"/>
                    </a:xfrm>
                    <a:prstGeom prst="rect">
                      <a:avLst/>
                    </a:prstGeom>
                    <a:noFill/>
                    <a:ln>
                      <a:noFill/>
                    </a:ln>
                  </pic:spPr>
                </pic:pic>
              </a:graphicData>
            </a:graphic>
          </wp:inline>
        </w:drawing>
      </w:r>
    </w:p>
    <w:p w:rsidR="00213CCE" w:rsidRDefault="00213CCE" w:rsidP="002D7A1F">
      <w:pPr>
        <w:jc w:val="both"/>
        <w:rPr>
          <w:b/>
          <w:bCs/>
          <w:i/>
          <w:iCs/>
        </w:rPr>
      </w:pPr>
    </w:p>
    <w:p w:rsidR="00146093" w:rsidRPr="00C21ACA" w:rsidRDefault="00146093" w:rsidP="002D7A1F">
      <w:pPr>
        <w:jc w:val="both"/>
        <w:rPr>
          <w:b/>
          <w:bCs/>
          <w:i/>
          <w:iCs/>
        </w:rPr>
      </w:pPr>
      <w:r w:rsidRPr="00C21ACA">
        <w:rPr>
          <w:b/>
          <w:bCs/>
          <w:i/>
          <w:iCs/>
        </w:rPr>
        <w:t>Prihod od ostalih poreza na robu i usluge</w:t>
      </w:r>
    </w:p>
    <w:p w:rsidR="00146093" w:rsidRPr="00CE3AEB" w:rsidRDefault="00146093" w:rsidP="002D7A1F">
      <w:pPr>
        <w:jc w:val="both"/>
        <w:rPr>
          <w:bCs/>
          <w:iCs/>
        </w:rPr>
      </w:pPr>
    </w:p>
    <w:p w:rsidR="00146093" w:rsidRPr="00C21ACA" w:rsidRDefault="00552159" w:rsidP="002D7A1F">
      <w:pPr>
        <w:jc w:val="both"/>
      </w:pPr>
      <w:r w:rsidRPr="00C21ACA">
        <w:t>U 201</w:t>
      </w:r>
      <w:r w:rsidR="00406F34">
        <w:t>9</w:t>
      </w:r>
      <w:r w:rsidR="00146093" w:rsidRPr="00C21ACA">
        <w:t xml:space="preserve">. godini prihod od ostalih poreza na robu i usluge ostvaren je u iznosu od </w:t>
      </w:r>
      <w:r w:rsidR="00E43A80" w:rsidRPr="00C21ACA">
        <w:t>4</w:t>
      </w:r>
      <w:r w:rsidR="00406F34">
        <w:t>29,1</w:t>
      </w:r>
      <w:r w:rsidR="00146093" w:rsidRPr="00C21ACA">
        <w:t xml:space="preserve"> milijun kuna, što je na međugodišnjoj razini </w:t>
      </w:r>
      <w:r w:rsidR="004B00B5" w:rsidRPr="00C21ACA">
        <w:t xml:space="preserve">rast </w:t>
      </w:r>
      <w:r w:rsidR="00146093" w:rsidRPr="00C21ACA">
        <w:t xml:space="preserve">od </w:t>
      </w:r>
      <w:r w:rsidR="00406F34">
        <w:t>6,7</w:t>
      </w:r>
      <w:r w:rsidR="00146093" w:rsidRPr="00C21ACA">
        <w:t>%. Ovu skupinu poreznih prihoda čine prihodi od poreza na osiguranj</w:t>
      </w:r>
      <w:r w:rsidR="00A449B4">
        <w:t>e</w:t>
      </w:r>
      <w:r w:rsidR="00146093" w:rsidRPr="00C21ACA">
        <w:t xml:space="preserve"> od automobilske odgovornosti i </w:t>
      </w:r>
      <w:proofErr w:type="spellStart"/>
      <w:r w:rsidR="00146093" w:rsidRPr="00C21ACA">
        <w:t>kasko</w:t>
      </w:r>
      <w:proofErr w:type="spellEnd"/>
      <w:r w:rsidR="00146093" w:rsidRPr="00C21ACA">
        <w:t xml:space="preserve"> osiguranja. </w:t>
      </w:r>
    </w:p>
    <w:p w:rsidR="00146093" w:rsidRPr="00C21ACA" w:rsidRDefault="00146093" w:rsidP="002D7A1F">
      <w:pPr>
        <w:jc w:val="both"/>
        <w:rPr>
          <w:rFonts w:eastAsia="Calibri"/>
        </w:rPr>
      </w:pPr>
    </w:p>
    <w:p w:rsidR="00646743" w:rsidRPr="00C21ACA" w:rsidRDefault="00646743" w:rsidP="002D7A1F">
      <w:pPr>
        <w:keepNext/>
        <w:jc w:val="both"/>
        <w:rPr>
          <w:b/>
          <w:bCs/>
          <w:i/>
          <w:iCs/>
        </w:rPr>
      </w:pPr>
      <w:r w:rsidRPr="00C21ACA">
        <w:rPr>
          <w:b/>
          <w:bCs/>
          <w:i/>
          <w:iCs/>
        </w:rPr>
        <w:lastRenderedPageBreak/>
        <w:t>Porez na dobitke od igara na sreću i ostali porezi od igara na sreću, te naknade za priređivanje igara na sreću</w:t>
      </w:r>
    </w:p>
    <w:p w:rsidR="00646743" w:rsidRPr="00E94F88" w:rsidRDefault="00646743" w:rsidP="002D7A1F">
      <w:pPr>
        <w:keepNext/>
        <w:jc w:val="both"/>
        <w:rPr>
          <w:bCs/>
          <w:iCs/>
        </w:rPr>
      </w:pPr>
    </w:p>
    <w:p w:rsidR="00CB27E0" w:rsidRPr="00C21ACA" w:rsidRDefault="00646743" w:rsidP="002D7A1F">
      <w:pPr>
        <w:keepNext/>
        <w:jc w:val="both"/>
      </w:pPr>
      <w:r w:rsidRPr="00C21ACA">
        <w:t>Prihod od poreza na dobitke od igara na sreću i ostali porezi od igara na sreću u 201</w:t>
      </w:r>
      <w:r w:rsidR="00406F34">
        <w:t>9</w:t>
      </w:r>
      <w:r w:rsidRPr="00C21ACA">
        <w:t xml:space="preserve">. godini iznose </w:t>
      </w:r>
      <w:r w:rsidR="00406F34">
        <w:t>373,9</w:t>
      </w:r>
      <w:r w:rsidRPr="00C21ACA">
        <w:t xml:space="preserve"> milijun</w:t>
      </w:r>
      <w:r w:rsidR="008D524E" w:rsidRPr="00C21ACA">
        <w:t>a</w:t>
      </w:r>
      <w:r w:rsidRPr="00C21ACA">
        <w:t xml:space="preserve"> kuna</w:t>
      </w:r>
      <w:r w:rsidR="00CB27E0" w:rsidRPr="00C21ACA">
        <w:t xml:space="preserve">, što je na međugodišnjoj razini povećanje od </w:t>
      </w:r>
      <w:r w:rsidR="00406F34">
        <w:t>6,9</w:t>
      </w:r>
      <w:r w:rsidR="00C76442">
        <w:t>%</w:t>
      </w:r>
      <w:r w:rsidR="00CB27E0" w:rsidRPr="00C21ACA">
        <w:t xml:space="preserve"> </w:t>
      </w:r>
      <w:r w:rsidR="004B00B5" w:rsidRPr="00C21ACA">
        <w:t>te je</w:t>
      </w:r>
      <w:r w:rsidR="00E43A80" w:rsidRPr="00C21ACA">
        <w:t xml:space="preserve"> za </w:t>
      </w:r>
      <w:r w:rsidR="00353512">
        <w:t>2,8</w:t>
      </w:r>
      <w:r w:rsidR="00E43A80" w:rsidRPr="00C21ACA">
        <w:t>% v</w:t>
      </w:r>
      <w:r w:rsidR="00C76442">
        <w:t>iše</w:t>
      </w:r>
      <w:r w:rsidR="00E43A80" w:rsidRPr="00C21ACA">
        <w:t xml:space="preserve"> od planiranog iznosa</w:t>
      </w:r>
      <w:r w:rsidR="00CB27E0" w:rsidRPr="00C21ACA">
        <w:t>.</w:t>
      </w:r>
      <w:r w:rsidR="008D524E" w:rsidRPr="00C21ACA">
        <w:t xml:space="preserve"> </w:t>
      </w:r>
      <w:r w:rsidR="00C76442">
        <w:t>U</w:t>
      </w:r>
      <w:r w:rsidR="00C76442" w:rsidRPr="00C21ACA">
        <w:t xml:space="preserve"> isto vrijeme</w:t>
      </w:r>
      <w:r w:rsidR="00C76442">
        <w:t>,</w:t>
      </w:r>
      <w:r w:rsidR="00C76442" w:rsidRPr="00C21ACA">
        <w:t xml:space="preserve"> </w:t>
      </w:r>
      <w:r w:rsidR="00C76442">
        <w:t>p</w:t>
      </w:r>
      <w:r w:rsidR="009408DF" w:rsidRPr="00C21ACA">
        <w:t>rihodi od naknada</w:t>
      </w:r>
      <w:r w:rsidRPr="00C21ACA">
        <w:t xml:space="preserve"> za priređivanje igara na sreću iznose </w:t>
      </w:r>
      <w:r w:rsidR="00406F34">
        <w:t>1,1 milijardu kuna</w:t>
      </w:r>
      <w:r w:rsidRPr="00C21ACA">
        <w:t xml:space="preserve"> i ostvareni su za </w:t>
      </w:r>
      <w:r w:rsidR="00406F34">
        <w:t>13,8</w:t>
      </w:r>
      <w:r w:rsidRPr="00C21ACA">
        <w:t xml:space="preserve">% </w:t>
      </w:r>
      <w:r w:rsidR="00146093" w:rsidRPr="00C21ACA">
        <w:t>više</w:t>
      </w:r>
      <w:r w:rsidRPr="00C21ACA">
        <w:t xml:space="preserve"> nego prethodne godine</w:t>
      </w:r>
      <w:r w:rsidR="00CB27E0" w:rsidRPr="00C21ACA">
        <w:t xml:space="preserve">, dok je u odnosu na planirani iznos ovaj prihod ostvaren za </w:t>
      </w:r>
      <w:r w:rsidR="00406F34">
        <w:t>5,4</w:t>
      </w:r>
      <w:r w:rsidR="00CB27E0" w:rsidRPr="00C21ACA">
        <w:t>% više</w:t>
      </w:r>
      <w:r w:rsidRPr="00C21ACA">
        <w:t xml:space="preserve">. </w:t>
      </w:r>
    </w:p>
    <w:p w:rsidR="004B00B5" w:rsidRPr="00C21ACA" w:rsidRDefault="004B00B5" w:rsidP="002D7A1F">
      <w:pPr>
        <w:jc w:val="both"/>
        <w:rPr>
          <w:rFonts w:eastAsia="Calibri"/>
        </w:rPr>
      </w:pPr>
    </w:p>
    <w:p w:rsidR="00646743" w:rsidRPr="00C21ACA" w:rsidRDefault="00646743" w:rsidP="002D7A1F">
      <w:pPr>
        <w:jc w:val="both"/>
        <w:rPr>
          <w:b/>
          <w:bCs/>
          <w:i/>
          <w:iCs/>
        </w:rPr>
      </w:pPr>
      <w:r w:rsidRPr="00C21ACA">
        <w:rPr>
          <w:b/>
          <w:bCs/>
          <w:i/>
          <w:iCs/>
        </w:rPr>
        <w:t xml:space="preserve">Porez na međunarodnu trgovinu </w:t>
      </w:r>
    </w:p>
    <w:p w:rsidR="00646743" w:rsidRPr="00CE3AEB" w:rsidRDefault="00646743" w:rsidP="002D7A1F">
      <w:pPr>
        <w:jc w:val="both"/>
        <w:rPr>
          <w:bCs/>
          <w:iCs/>
        </w:rPr>
      </w:pPr>
    </w:p>
    <w:p w:rsidR="00646743" w:rsidRPr="00C21ACA" w:rsidRDefault="00646743" w:rsidP="002D7A1F">
      <w:pPr>
        <w:jc w:val="both"/>
      </w:pPr>
      <w:r w:rsidRPr="00C21ACA">
        <w:t>Prihod od poreza na međunarodnu trgovinu u 201</w:t>
      </w:r>
      <w:r w:rsidR="00406F34">
        <w:t>9</w:t>
      </w:r>
      <w:r w:rsidRPr="00C21ACA">
        <w:t xml:space="preserve">. godini ostvaren je u iznosu od </w:t>
      </w:r>
      <w:r w:rsidR="00406F34">
        <w:t>360,5</w:t>
      </w:r>
      <w:r w:rsidR="00C35872" w:rsidRPr="00C21ACA">
        <w:t xml:space="preserve"> milijun</w:t>
      </w:r>
      <w:r w:rsidR="00575D5D" w:rsidRPr="00C21ACA">
        <w:t>a</w:t>
      </w:r>
      <w:r w:rsidR="00ED686B" w:rsidRPr="00C21ACA">
        <w:t xml:space="preserve"> kuna</w:t>
      </w:r>
      <w:r w:rsidR="005260A5">
        <w:t>,</w:t>
      </w:r>
      <w:r w:rsidR="00ED686B" w:rsidRPr="00C21ACA">
        <w:t xml:space="preserve"> š</w:t>
      </w:r>
      <w:r w:rsidRPr="00C21ACA">
        <w:t>to je</w:t>
      </w:r>
      <w:r w:rsidR="00BC4349" w:rsidRPr="00C21ACA">
        <w:t xml:space="preserve"> </w:t>
      </w:r>
      <w:r w:rsidR="00406F34">
        <w:t>povećanje</w:t>
      </w:r>
      <w:r w:rsidR="00BC4349" w:rsidRPr="00C21ACA">
        <w:t xml:space="preserve"> od</w:t>
      </w:r>
      <w:r w:rsidRPr="00C21ACA">
        <w:t xml:space="preserve"> </w:t>
      </w:r>
      <w:r w:rsidR="00406F34">
        <w:t>3,1</w:t>
      </w:r>
      <w:r w:rsidR="00ED686B" w:rsidRPr="00C21ACA">
        <w:t xml:space="preserve">% </w:t>
      </w:r>
      <w:r w:rsidR="00BC4349" w:rsidRPr="00C21ACA">
        <w:t>u odnosu na</w:t>
      </w:r>
      <w:r w:rsidR="00ED686B" w:rsidRPr="00C21ACA">
        <w:t xml:space="preserve"> 201</w:t>
      </w:r>
      <w:r w:rsidR="00406F34">
        <w:t>8</w:t>
      </w:r>
      <w:r w:rsidRPr="00C21ACA">
        <w:t>. godin</w:t>
      </w:r>
      <w:r w:rsidR="00BC4349" w:rsidRPr="00C21ACA">
        <w:t>u</w:t>
      </w:r>
      <w:r w:rsidRPr="00C21ACA">
        <w:t>.</w:t>
      </w:r>
    </w:p>
    <w:p w:rsidR="00575D5D" w:rsidRDefault="00575D5D" w:rsidP="002D7A1F">
      <w:pPr>
        <w:jc w:val="both"/>
      </w:pPr>
    </w:p>
    <w:p w:rsidR="00CF13BA" w:rsidRPr="00C21ACA" w:rsidRDefault="00CF13BA" w:rsidP="002D7A1F">
      <w:pPr>
        <w:rPr>
          <w:b/>
          <w:bCs/>
          <w:i/>
          <w:iCs/>
        </w:rPr>
      </w:pPr>
      <w:r w:rsidRPr="00C21ACA">
        <w:rPr>
          <w:b/>
          <w:bCs/>
          <w:i/>
          <w:iCs/>
        </w:rPr>
        <w:t>Prihod</w:t>
      </w:r>
      <w:r w:rsidR="00A33AD7" w:rsidRPr="00C21ACA">
        <w:rPr>
          <w:b/>
          <w:bCs/>
          <w:i/>
          <w:iCs/>
        </w:rPr>
        <w:t>i od</w:t>
      </w:r>
      <w:r w:rsidRPr="00C21ACA">
        <w:rPr>
          <w:b/>
          <w:bCs/>
          <w:i/>
          <w:iCs/>
        </w:rPr>
        <w:t xml:space="preserve"> doprinosa</w:t>
      </w:r>
    </w:p>
    <w:p w:rsidR="005260A5" w:rsidRDefault="005260A5" w:rsidP="002D7A1F">
      <w:pPr>
        <w:jc w:val="both"/>
      </w:pPr>
    </w:p>
    <w:p w:rsidR="00353512" w:rsidRDefault="00B911EB" w:rsidP="002D7A1F">
      <w:pPr>
        <w:jc w:val="both"/>
      </w:pPr>
      <w:r w:rsidRPr="00C21ACA">
        <w:t>U 201</w:t>
      </w:r>
      <w:r w:rsidR="00406F34">
        <w:t>9</w:t>
      </w:r>
      <w:r w:rsidR="00107708" w:rsidRPr="00C21ACA">
        <w:t>. godini p</w:t>
      </w:r>
      <w:r w:rsidR="00CF13BA" w:rsidRPr="00C21ACA">
        <w:t>rihod</w:t>
      </w:r>
      <w:r w:rsidRPr="00C21ACA">
        <w:t>i</w:t>
      </w:r>
      <w:r w:rsidR="00D46E12" w:rsidRPr="00C21ACA">
        <w:t xml:space="preserve"> od doprinosa </w:t>
      </w:r>
      <w:r w:rsidR="00CF13BA" w:rsidRPr="00C21ACA">
        <w:t>iznos</w:t>
      </w:r>
      <w:r w:rsidR="00A33AD7" w:rsidRPr="00C21ACA">
        <w:t>e</w:t>
      </w:r>
      <w:r w:rsidR="00CF13BA" w:rsidRPr="00C21ACA">
        <w:t xml:space="preserve"> </w:t>
      </w:r>
      <w:r w:rsidR="00290555" w:rsidRPr="00C21ACA">
        <w:t>24,</w:t>
      </w:r>
      <w:r w:rsidR="00406F34">
        <w:t>1</w:t>
      </w:r>
      <w:r w:rsidR="00CF13BA" w:rsidRPr="00C21ACA">
        <w:t xml:space="preserve"> milijard</w:t>
      </w:r>
      <w:r w:rsidR="00406F34">
        <w:t>u</w:t>
      </w:r>
      <w:r w:rsidR="00CF13BA" w:rsidRPr="00C21ACA">
        <w:t xml:space="preserve"> kuna, što je</w:t>
      </w:r>
      <w:r w:rsidRPr="00C21ACA">
        <w:t xml:space="preserve"> na međugodišnjoj razini </w:t>
      </w:r>
      <w:r w:rsidR="00406F34">
        <w:t>smanjenje</w:t>
      </w:r>
      <w:r w:rsidRPr="00C21ACA">
        <w:t xml:space="preserve"> od</w:t>
      </w:r>
      <w:r w:rsidR="00CF13BA" w:rsidRPr="00C21ACA">
        <w:t xml:space="preserve"> </w:t>
      </w:r>
      <w:r w:rsidR="00406F34">
        <w:t>3,1</w:t>
      </w:r>
      <w:r w:rsidR="00CF13BA" w:rsidRPr="00C21ACA">
        <w:t>%.</w:t>
      </w:r>
      <w:r w:rsidR="00BC4349" w:rsidRPr="00C21ACA">
        <w:t xml:space="preserve"> </w:t>
      </w:r>
      <w:r w:rsidR="00273E51" w:rsidRPr="00C21ACA">
        <w:t>Prikupljeni prihodi od doprinosa kreću se sukl</w:t>
      </w:r>
      <w:r w:rsidR="00247449" w:rsidRPr="00C21ACA">
        <w:t>adno kretanjima na tržištu rada</w:t>
      </w:r>
      <w:r w:rsidR="00017DA9" w:rsidRPr="00C21ACA">
        <w:t xml:space="preserve"> te je njihov rast rezultat rasta plaća i zaposlenosti tijekom 201</w:t>
      </w:r>
      <w:r w:rsidR="00406F34">
        <w:t>9</w:t>
      </w:r>
      <w:r w:rsidR="00017DA9" w:rsidRPr="00C21ACA">
        <w:t>.</w:t>
      </w:r>
      <w:r w:rsidR="00D81293">
        <w:t xml:space="preserve"> </w:t>
      </w:r>
      <w:r w:rsidR="00107617">
        <w:t>g</w:t>
      </w:r>
      <w:r w:rsidR="00D81293">
        <w:t>odine</w:t>
      </w:r>
      <w:r w:rsidR="00406F34">
        <w:t xml:space="preserve"> </w:t>
      </w:r>
      <w:r w:rsidR="00107617">
        <w:t>kao i</w:t>
      </w:r>
      <w:r w:rsidR="00406F34">
        <w:t xml:space="preserve"> provedene porezne reforme</w:t>
      </w:r>
      <w:r w:rsidR="00D81293">
        <w:t>.</w:t>
      </w:r>
      <w:r w:rsidR="00107617">
        <w:t xml:space="preserve"> </w:t>
      </w:r>
      <w:r w:rsidR="00353512">
        <w:t>Naime, p</w:t>
      </w:r>
      <w:r w:rsidR="00406F34">
        <w:t>oreznom reformom ukinuti su doprinosi za zapošljavanje i zaštitu na radu, a povećan doprinos za zdravstveno osiguranje</w:t>
      </w:r>
      <w:r w:rsidR="00353512">
        <w:t>, koji je prihod proračuna Hrvatskog zavoda za zdravstveno osiguranje, a sve u cilju</w:t>
      </w:r>
      <w:r w:rsidR="00353512" w:rsidRPr="00353512">
        <w:t xml:space="preserve"> </w:t>
      </w:r>
      <w:r w:rsidR="00353512">
        <w:t>daljnjeg</w:t>
      </w:r>
      <w:r w:rsidR="00353512" w:rsidRPr="00254C82">
        <w:t xml:space="preserve"> rasterećenj</w:t>
      </w:r>
      <w:r w:rsidR="00353512">
        <w:t>a</w:t>
      </w:r>
      <w:r w:rsidR="00353512" w:rsidRPr="00254C82">
        <w:t xml:space="preserve"> cijene rada, pojednostavljenj</w:t>
      </w:r>
      <w:r w:rsidR="00353512">
        <w:t>a</w:t>
      </w:r>
      <w:r w:rsidR="00353512" w:rsidRPr="00254C82">
        <w:t xml:space="preserve"> sustava doprinosa te administrativno</w:t>
      </w:r>
      <w:r w:rsidR="00353512">
        <w:t>g</w:t>
      </w:r>
      <w:r w:rsidR="00353512" w:rsidRPr="00254C82">
        <w:t xml:space="preserve"> rasterećenj</w:t>
      </w:r>
      <w:r w:rsidR="00353512">
        <w:t>a</w:t>
      </w:r>
      <w:r w:rsidR="00353512" w:rsidRPr="00254C82">
        <w:t xml:space="preserve"> poreznih obveznika</w:t>
      </w:r>
      <w:r w:rsidR="00353512">
        <w:t>. U</w:t>
      </w:r>
      <w:r w:rsidR="00353512" w:rsidRPr="00254C82">
        <w:t>kupno opterećenje plaće doprinosima smanj</w:t>
      </w:r>
      <w:r w:rsidR="00353512">
        <w:t>eno je</w:t>
      </w:r>
      <w:r w:rsidR="00353512" w:rsidRPr="00254C82">
        <w:t xml:space="preserve"> s 37,2% na 36,5%</w:t>
      </w:r>
      <w:r w:rsidR="00353512">
        <w:t>.</w:t>
      </w:r>
    </w:p>
    <w:p w:rsidR="00247449" w:rsidRPr="00C21ACA" w:rsidRDefault="00353512" w:rsidP="002D7A1F">
      <w:pPr>
        <w:jc w:val="both"/>
      </w:pPr>
      <w:r>
        <w:t>P</w:t>
      </w:r>
      <w:r w:rsidR="00406F34">
        <w:t xml:space="preserve">rihod </w:t>
      </w:r>
      <w:r w:rsidR="00406F34" w:rsidRPr="001C7D6D">
        <w:t xml:space="preserve">od doprinosa za mirovinsko osiguranje </w:t>
      </w:r>
      <w:r w:rsidRPr="00C21ACA">
        <w:t>ostvaren je u iznosu od 2</w:t>
      </w:r>
      <w:r>
        <w:t>3,9</w:t>
      </w:r>
      <w:r w:rsidRPr="00C21ACA">
        <w:t xml:space="preserve"> milijardi kuna, a na međugodišnjoj razini raste za </w:t>
      </w:r>
      <w:r>
        <w:t>5</w:t>
      </w:r>
      <w:r w:rsidRPr="00C21ACA">
        <w:t>%. Prihod od doprinosa za zapošljavanje iznosi</w:t>
      </w:r>
      <w:r>
        <w:t>o je</w:t>
      </w:r>
      <w:r w:rsidRPr="00C21ACA">
        <w:t xml:space="preserve"> </w:t>
      </w:r>
      <w:r>
        <w:t>217,2 milijuna</w:t>
      </w:r>
      <w:r w:rsidRPr="00C21ACA">
        <w:t xml:space="preserve"> kuna</w:t>
      </w:r>
      <w:r>
        <w:t xml:space="preserve"> i to temeljem uplata </w:t>
      </w:r>
      <w:r w:rsidRPr="00353512">
        <w:t>uglavnom ostvaren</w:t>
      </w:r>
      <w:r>
        <w:t>ih</w:t>
      </w:r>
      <w:r w:rsidRPr="00353512">
        <w:t xml:space="preserve"> u siječnju </w:t>
      </w:r>
      <w:r>
        <w:t xml:space="preserve">2019. godine </w:t>
      </w:r>
      <w:r w:rsidRPr="00353512">
        <w:t>na osnovu isplat</w:t>
      </w:r>
      <w:bookmarkStart w:id="3" w:name="_Toc134353535"/>
      <w:r>
        <w:t>e plaća i doprinosa za prosinac prethodne godine.</w:t>
      </w:r>
    </w:p>
    <w:p w:rsidR="00247449" w:rsidRPr="00D81293" w:rsidRDefault="00247449" w:rsidP="002D7A1F">
      <w:pPr>
        <w:jc w:val="both"/>
        <w:rPr>
          <w:rFonts w:eastAsia="Calibri"/>
        </w:rPr>
      </w:pPr>
    </w:p>
    <w:p w:rsidR="00F4512B" w:rsidRPr="00213CCE" w:rsidRDefault="00CF13BA" w:rsidP="002D7A1F">
      <w:pPr>
        <w:jc w:val="both"/>
        <w:rPr>
          <w:i/>
        </w:rPr>
      </w:pPr>
      <w:r w:rsidRPr="00213CCE">
        <w:rPr>
          <w:i/>
        </w:rPr>
        <w:t xml:space="preserve">Tablica 3. </w:t>
      </w:r>
      <w:r w:rsidR="009659C9" w:rsidRPr="00213CCE">
        <w:rPr>
          <w:i/>
        </w:rPr>
        <w:t xml:space="preserve">Doprinosi </w:t>
      </w:r>
      <w:r w:rsidR="00E863FC" w:rsidRPr="00213CCE">
        <w:rPr>
          <w:i/>
        </w:rPr>
        <w:t xml:space="preserve">u </w:t>
      </w:r>
      <w:r w:rsidR="009659C9" w:rsidRPr="00213CCE">
        <w:rPr>
          <w:i/>
        </w:rPr>
        <w:t>201</w:t>
      </w:r>
      <w:r w:rsidR="00107617" w:rsidRPr="00213CCE">
        <w:rPr>
          <w:i/>
        </w:rPr>
        <w:t>8</w:t>
      </w:r>
      <w:r w:rsidR="009659C9" w:rsidRPr="00213CCE">
        <w:rPr>
          <w:i/>
        </w:rPr>
        <w:t xml:space="preserve">. i </w:t>
      </w:r>
      <w:r w:rsidR="00E863FC" w:rsidRPr="00213CCE">
        <w:rPr>
          <w:i/>
        </w:rPr>
        <w:t>201</w:t>
      </w:r>
      <w:r w:rsidR="00107617" w:rsidRPr="00213CCE">
        <w:rPr>
          <w:i/>
        </w:rPr>
        <w:t>9</w:t>
      </w:r>
      <w:r w:rsidRPr="00213CCE">
        <w:rPr>
          <w:i/>
        </w:rPr>
        <w:t xml:space="preserve">. </w:t>
      </w:r>
      <w:r w:rsidR="00B911EB" w:rsidRPr="00213CCE">
        <w:rPr>
          <w:i/>
        </w:rPr>
        <w:t>g</w:t>
      </w:r>
      <w:r w:rsidRPr="00213CCE">
        <w:rPr>
          <w:i/>
        </w:rPr>
        <w:t>odini</w:t>
      </w:r>
      <w:bookmarkEnd w:id="3"/>
    </w:p>
    <w:p w:rsidR="00402749" w:rsidRDefault="0092324A" w:rsidP="002D7A1F">
      <w:pPr>
        <w:jc w:val="both"/>
      </w:pPr>
      <w:r>
        <w:rPr>
          <w:noProof/>
        </w:rPr>
        <w:drawing>
          <wp:inline distT="0" distB="0" distL="0" distR="0" wp14:anchorId="6B4B7CE7" wp14:editId="4A03A82C">
            <wp:extent cx="5000625" cy="119062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0625" cy="1190625"/>
                    </a:xfrm>
                    <a:prstGeom prst="rect">
                      <a:avLst/>
                    </a:prstGeom>
                    <a:noFill/>
                    <a:ln>
                      <a:noFill/>
                    </a:ln>
                  </pic:spPr>
                </pic:pic>
              </a:graphicData>
            </a:graphic>
          </wp:inline>
        </w:drawing>
      </w:r>
    </w:p>
    <w:p w:rsidR="00353512" w:rsidRDefault="00353512" w:rsidP="002D7A1F">
      <w:pPr>
        <w:jc w:val="both"/>
      </w:pPr>
    </w:p>
    <w:p w:rsidR="00CF13BA" w:rsidRPr="00C21ACA" w:rsidRDefault="00CF13BA" w:rsidP="002D7A1F">
      <w:pPr>
        <w:rPr>
          <w:b/>
          <w:bCs/>
          <w:i/>
          <w:iCs/>
        </w:rPr>
      </w:pPr>
      <w:r w:rsidRPr="00C21ACA">
        <w:rPr>
          <w:b/>
          <w:bCs/>
          <w:i/>
          <w:iCs/>
        </w:rPr>
        <w:t xml:space="preserve">Prihodi od pomoći </w:t>
      </w:r>
    </w:p>
    <w:p w:rsidR="008F0D66" w:rsidRPr="00CE3AEB" w:rsidRDefault="008F0D66" w:rsidP="002D7A1F">
      <w:pPr>
        <w:jc w:val="both"/>
        <w:rPr>
          <w:bCs/>
          <w:iCs/>
        </w:rPr>
      </w:pPr>
    </w:p>
    <w:p w:rsidR="00B80234" w:rsidRPr="00C21ACA" w:rsidRDefault="00B80234" w:rsidP="002D7A1F">
      <w:pPr>
        <w:jc w:val="both"/>
      </w:pPr>
      <w:r w:rsidRPr="00C21ACA">
        <w:t xml:space="preserve">Prihodi od pomoći se najvećim dijelom odnose na </w:t>
      </w:r>
      <w:r w:rsidR="00017DA9" w:rsidRPr="00C21ACA">
        <w:t xml:space="preserve">korištenje </w:t>
      </w:r>
      <w:r w:rsidRPr="00C21ACA">
        <w:t xml:space="preserve">sredstava iz fondova EU. Ukupni prihodi od </w:t>
      </w:r>
      <w:r w:rsidR="005070B7" w:rsidRPr="00C21ACA">
        <w:t>pomoći u 201</w:t>
      </w:r>
      <w:r w:rsidR="00107617">
        <w:t>9</w:t>
      </w:r>
      <w:r w:rsidRPr="00C21ACA">
        <w:t xml:space="preserve">. godini iznose </w:t>
      </w:r>
      <w:r w:rsidR="00107617">
        <w:t>14,8</w:t>
      </w:r>
      <w:r w:rsidRPr="00C21ACA">
        <w:t xml:space="preserve"> milijardi kuna</w:t>
      </w:r>
      <w:r w:rsidR="000313E8" w:rsidRPr="00C21ACA">
        <w:t>,</w:t>
      </w:r>
      <w:r w:rsidRPr="00C21ACA">
        <w:t xml:space="preserve"> što je </w:t>
      </w:r>
      <w:r w:rsidR="000313E8" w:rsidRPr="00C21ACA">
        <w:t xml:space="preserve">za </w:t>
      </w:r>
      <w:r w:rsidR="00107617">
        <w:t>38,1</w:t>
      </w:r>
      <w:r w:rsidR="000313E8" w:rsidRPr="00C21ACA">
        <w:t>% više</w:t>
      </w:r>
      <w:r w:rsidR="005070B7" w:rsidRPr="00C21ACA">
        <w:t xml:space="preserve"> u odnosu na </w:t>
      </w:r>
      <w:r w:rsidRPr="00C21ACA">
        <w:t>pre</w:t>
      </w:r>
      <w:r w:rsidR="00AC761B" w:rsidRPr="00C21ACA">
        <w:t>thodnu godinu</w:t>
      </w:r>
      <w:r w:rsidRPr="00C21ACA">
        <w:t>. Od tog iznosa najveći dio</w:t>
      </w:r>
      <w:r w:rsidR="00290555" w:rsidRPr="00C21ACA">
        <w:t>,</w:t>
      </w:r>
      <w:r w:rsidRPr="00C21ACA">
        <w:t xml:space="preserve"> </w:t>
      </w:r>
      <w:r w:rsidR="00290555" w:rsidRPr="00C21ACA">
        <w:t>odnosno</w:t>
      </w:r>
      <w:r w:rsidRPr="00C21ACA">
        <w:t xml:space="preserve"> </w:t>
      </w:r>
      <w:r w:rsidR="00290555" w:rsidRPr="00C21ACA">
        <w:t>9</w:t>
      </w:r>
      <w:r w:rsidR="00107617">
        <w:t>5</w:t>
      </w:r>
      <w:r w:rsidRPr="00C21ACA">
        <w:t>%</w:t>
      </w:r>
      <w:r w:rsidR="00290555" w:rsidRPr="00C21ACA">
        <w:t>,</w:t>
      </w:r>
      <w:r w:rsidRPr="00C21ACA">
        <w:t xml:space="preserve"> čine pomoći od međunarodnih organizacija te institucija i tijela EU</w:t>
      </w:r>
      <w:r w:rsidR="006B6F3A">
        <w:t xml:space="preserve"> koji na međugodišnjoj razini rastu za 41%, a</w:t>
      </w:r>
      <w:r w:rsidRPr="00C21ACA">
        <w:t xml:space="preserve"> izravno su vezan</w:t>
      </w:r>
      <w:r w:rsidR="006B6F3A">
        <w:t>i</w:t>
      </w:r>
      <w:r w:rsidRPr="00C21ACA">
        <w:t xml:space="preserve"> uz projekte financirane iz fondova EU te izravna plaćanja u poljoprivredi. </w:t>
      </w:r>
      <w:r w:rsidR="006B6F3A">
        <w:t xml:space="preserve">Takvo ostvarenje </w:t>
      </w:r>
      <w:r w:rsidR="00107617">
        <w:t xml:space="preserve">pokazuje značajan napredak u iskorištenosti sredstava </w:t>
      </w:r>
      <w:r w:rsidR="006B6F3A">
        <w:t xml:space="preserve">iz </w:t>
      </w:r>
      <w:r w:rsidR="00107617">
        <w:t xml:space="preserve">EU fondova. </w:t>
      </w:r>
    </w:p>
    <w:p w:rsidR="005070B7" w:rsidRPr="00C21ACA" w:rsidRDefault="00AC761B" w:rsidP="002D7A1F">
      <w:pPr>
        <w:jc w:val="both"/>
      </w:pPr>
      <w:r w:rsidRPr="00C21ACA">
        <w:t xml:space="preserve">Ostali prihodi od pomoći odnose se na pomoći od inozemnih vlada, </w:t>
      </w:r>
      <w:r w:rsidR="005070B7" w:rsidRPr="00C21ACA">
        <w:t xml:space="preserve">pomoći od </w:t>
      </w:r>
      <w:r w:rsidR="00D81293">
        <w:t>ostalih subjekata unutar općeg proračuna</w:t>
      </w:r>
      <w:r w:rsidR="005070B7" w:rsidRPr="00C21ACA">
        <w:t>, pomoći proračunskim korisnicima iz proračuna koji im nije nadležan</w:t>
      </w:r>
      <w:r w:rsidR="004B00B5" w:rsidRPr="00C21ACA">
        <w:t>,</w:t>
      </w:r>
      <w:r w:rsidR="005070B7" w:rsidRPr="00C21ACA">
        <w:t xml:space="preserve"> pomoći iz državnog proračuna temeljem prijenosa EU sredstava</w:t>
      </w:r>
      <w:r w:rsidR="004B00B5" w:rsidRPr="00C21ACA">
        <w:t xml:space="preserve"> te prijenosi između proračunskih korisnika istog proračuna</w:t>
      </w:r>
      <w:r w:rsidR="005070B7" w:rsidRPr="00C21ACA">
        <w:t xml:space="preserve">. </w:t>
      </w:r>
    </w:p>
    <w:p w:rsidR="005070B7" w:rsidRPr="00C21ACA" w:rsidRDefault="005070B7" w:rsidP="002D7A1F">
      <w:pPr>
        <w:jc w:val="both"/>
      </w:pPr>
    </w:p>
    <w:p w:rsidR="00CF13BA" w:rsidRPr="00C21ACA" w:rsidRDefault="00CF13BA" w:rsidP="002D7A1F">
      <w:pPr>
        <w:rPr>
          <w:b/>
          <w:bCs/>
          <w:i/>
          <w:iCs/>
        </w:rPr>
      </w:pPr>
      <w:r w:rsidRPr="00C21ACA">
        <w:rPr>
          <w:b/>
          <w:bCs/>
          <w:i/>
          <w:iCs/>
        </w:rPr>
        <w:t xml:space="preserve">Prihodi od imovine </w:t>
      </w:r>
    </w:p>
    <w:p w:rsidR="008F0D66" w:rsidRPr="00CE3AEB" w:rsidRDefault="008F0D66" w:rsidP="002D7A1F">
      <w:pPr>
        <w:jc w:val="both"/>
        <w:rPr>
          <w:bCs/>
          <w:iCs/>
        </w:rPr>
      </w:pPr>
    </w:p>
    <w:p w:rsidR="00214A0B" w:rsidRPr="00C21ACA" w:rsidRDefault="00073EA2" w:rsidP="002D7A1F">
      <w:pPr>
        <w:jc w:val="both"/>
      </w:pPr>
      <w:r w:rsidRPr="00C21ACA">
        <w:t xml:space="preserve">Prihodi </w:t>
      </w:r>
      <w:r w:rsidR="00CF13BA" w:rsidRPr="00C21ACA">
        <w:t xml:space="preserve">od imovine </w:t>
      </w:r>
      <w:r w:rsidRPr="00C21ACA">
        <w:t>u 201</w:t>
      </w:r>
      <w:r w:rsidR="00107617">
        <w:t>9</w:t>
      </w:r>
      <w:r w:rsidRPr="00C21ACA">
        <w:t xml:space="preserve">. godini ostvareni su u iznosu od </w:t>
      </w:r>
      <w:r w:rsidR="00290555" w:rsidRPr="00C21ACA">
        <w:t>2,</w:t>
      </w:r>
      <w:r w:rsidR="00107617">
        <w:t>8</w:t>
      </w:r>
      <w:r w:rsidR="00A81B09" w:rsidRPr="00C21ACA">
        <w:t xml:space="preserve"> milijard</w:t>
      </w:r>
      <w:r w:rsidR="00107617">
        <w:t>i</w:t>
      </w:r>
      <w:r w:rsidRPr="00C21ACA">
        <w:t xml:space="preserve"> kuna, a sastoje se od prihoda</w:t>
      </w:r>
      <w:r w:rsidR="00CF13BA" w:rsidRPr="00C21ACA">
        <w:t xml:space="preserve"> od financijske i</w:t>
      </w:r>
      <w:r w:rsidRPr="00C21ACA">
        <w:t>movine, prihoda</w:t>
      </w:r>
      <w:r w:rsidR="00CF13BA" w:rsidRPr="00C21ACA">
        <w:t xml:space="preserve"> od nefinancijske imovine</w:t>
      </w:r>
      <w:r w:rsidR="00107617">
        <w:t>,</w:t>
      </w:r>
      <w:r w:rsidR="00CF13BA" w:rsidRPr="00C21ACA">
        <w:t xml:space="preserve"> </w:t>
      </w:r>
      <w:r w:rsidR="00D81293">
        <w:t xml:space="preserve">prihoda od </w:t>
      </w:r>
      <w:r w:rsidR="00CF13BA" w:rsidRPr="00C21ACA">
        <w:t>kamat</w:t>
      </w:r>
      <w:r w:rsidRPr="00C21ACA">
        <w:t>a</w:t>
      </w:r>
      <w:r w:rsidR="00CF13BA" w:rsidRPr="00C21ACA">
        <w:t xml:space="preserve"> na dane zajmove</w:t>
      </w:r>
      <w:r w:rsidR="00107617">
        <w:t xml:space="preserve"> te prihoda</w:t>
      </w:r>
      <w:r w:rsidR="00107617" w:rsidRPr="00107617">
        <w:t xml:space="preserve"> od kamata na dane zajmove po protestiranim jamstvima</w:t>
      </w:r>
      <w:r w:rsidRPr="00C21ACA">
        <w:t xml:space="preserve">. </w:t>
      </w:r>
      <w:r w:rsidR="007077CF" w:rsidRPr="00C21ACA">
        <w:rPr>
          <w:rFonts w:eastAsia="Calibri"/>
        </w:rPr>
        <w:t xml:space="preserve">Međugodišnji </w:t>
      </w:r>
      <w:r w:rsidR="00107617">
        <w:rPr>
          <w:rFonts w:eastAsia="Calibri"/>
        </w:rPr>
        <w:t>rast</w:t>
      </w:r>
      <w:r w:rsidR="007077CF" w:rsidRPr="00C21ACA">
        <w:rPr>
          <w:rFonts w:eastAsia="Calibri"/>
        </w:rPr>
        <w:t xml:space="preserve"> prihoda od imovine iznosi </w:t>
      </w:r>
      <w:r w:rsidR="00107617">
        <w:rPr>
          <w:rFonts w:eastAsia="Calibri"/>
        </w:rPr>
        <w:t>23,1</w:t>
      </w:r>
      <w:r w:rsidR="007077CF" w:rsidRPr="00C21ACA">
        <w:rPr>
          <w:rFonts w:eastAsia="Calibri"/>
        </w:rPr>
        <w:t>%</w:t>
      </w:r>
      <w:r w:rsidR="00A81B09" w:rsidRPr="00C21ACA">
        <w:t>, dok su u odnosu na plan</w:t>
      </w:r>
      <w:r w:rsidR="004B76F1" w:rsidRPr="00C21ACA">
        <w:t>irane</w:t>
      </w:r>
      <w:r w:rsidR="00A81B09" w:rsidRPr="00C21ACA">
        <w:t xml:space="preserve"> </w:t>
      </w:r>
      <w:r w:rsidR="00290555" w:rsidRPr="00C21ACA">
        <w:t xml:space="preserve">vrijednosti ovi prihodi </w:t>
      </w:r>
      <w:r w:rsidR="00A81B09" w:rsidRPr="00C21ACA">
        <w:t xml:space="preserve">ostvareni za </w:t>
      </w:r>
      <w:r w:rsidR="00107617">
        <w:t>19,7</w:t>
      </w:r>
      <w:r w:rsidR="00A81B09" w:rsidRPr="00C21ACA">
        <w:t xml:space="preserve">% </w:t>
      </w:r>
      <w:r w:rsidR="004B76F1" w:rsidRPr="00C21ACA">
        <w:t>više</w:t>
      </w:r>
      <w:r w:rsidR="00A81B09" w:rsidRPr="00C21ACA">
        <w:t xml:space="preserve">. </w:t>
      </w:r>
    </w:p>
    <w:p w:rsidR="00E22844" w:rsidRDefault="0019388A" w:rsidP="002D7A1F">
      <w:pPr>
        <w:jc w:val="both"/>
      </w:pPr>
      <w:r w:rsidRPr="00C21ACA">
        <w:t>Prihod</w:t>
      </w:r>
      <w:r>
        <w:t>e</w:t>
      </w:r>
      <w:r w:rsidRPr="00C21ACA">
        <w:t xml:space="preserve"> </w:t>
      </w:r>
      <w:r w:rsidR="0013258D" w:rsidRPr="00C21ACA">
        <w:t xml:space="preserve">od financijske imovine </w:t>
      </w:r>
      <w:r>
        <w:t>čine</w:t>
      </w:r>
      <w:r w:rsidR="0013258D" w:rsidRPr="00C21ACA">
        <w:t xml:space="preserve"> prihod</w:t>
      </w:r>
      <w:r>
        <w:t>i</w:t>
      </w:r>
      <w:r w:rsidR="0013258D" w:rsidRPr="00C21ACA">
        <w:t xml:space="preserve"> od kamata (po vrijednosnim papirima, na oročena sredstva i depozite po viđe</w:t>
      </w:r>
      <w:r w:rsidR="00305D2F">
        <w:t>nju</w:t>
      </w:r>
      <w:r w:rsidR="0013258D" w:rsidRPr="00C21ACA">
        <w:t xml:space="preserve"> te zateznih kamata), </w:t>
      </w:r>
      <w:r w:rsidRPr="00C21ACA">
        <w:t>prihod</w:t>
      </w:r>
      <w:r>
        <w:t>i</w:t>
      </w:r>
      <w:r w:rsidRPr="00C21ACA">
        <w:t xml:space="preserve"> </w:t>
      </w:r>
      <w:r w:rsidR="0013258D" w:rsidRPr="00C21ACA">
        <w:t xml:space="preserve">od dobiti trgovačkih društava, kreditnih i ostalih financijskih organizacija, </w:t>
      </w:r>
      <w:r w:rsidRPr="00C21ACA">
        <w:t>prihod</w:t>
      </w:r>
      <w:r>
        <w:t>i</w:t>
      </w:r>
      <w:r w:rsidRPr="00C21ACA">
        <w:t xml:space="preserve"> </w:t>
      </w:r>
      <w:r w:rsidR="00305D2F">
        <w:t>od dividendi</w:t>
      </w:r>
      <w:r w:rsidR="0013258D" w:rsidRPr="00C21ACA">
        <w:t xml:space="preserve"> te ostali </w:t>
      </w:r>
      <w:r w:rsidRPr="00C21ACA">
        <w:t>prihod</w:t>
      </w:r>
      <w:r>
        <w:t>i</w:t>
      </w:r>
      <w:r w:rsidRPr="00C21ACA">
        <w:t xml:space="preserve"> </w:t>
      </w:r>
      <w:r w:rsidR="0013258D" w:rsidRPr="00C21ACA">
        <w:t>od financijske imovine.</w:t>
      </w:r>
      <w:r w:rsidR="00E22844" w:rsidRPr="00C21ACA">
        <w:t xml:space="preserve"> Ovi prihodi</w:t>
      </w:r>
      <w:r w:rsidR="00107617">
        <w:t xml:space="preserve"> u 2019. godini </w:t>
      </w:r>
      <w:r w:rsidR="00E22844" w:rsidRPr="00C21ACA">
        <w:t>iznose 1,</w:t>
      </w:r>
      <w:r w:rsidR="00107617">
        <w:t>6 milijardi</w:t>
      </w:r>
      <w:r w:rsidR="00E22844" w:rsidRPr="00C21ACA">
        <w:t xml:space="preserve"> kuna</w:t>
      </w:r>
      <w:r w:rsidR="00E21F78" w:rsidRPr="00C21ACA">
        <w:t xml:space="preserve">, a u odnosu na prethodnu godinu </w:t>
      </w:r>
      <w:r w:rsidR="00107617">
        <w:t>rastu</w:t>
      </w:r>
      <w:r w:rsidR="00E21F78" w:rsidRPr="00C21ACA">
        <w:t xml:space="preserve"> za </w:t>
      </w:r>
      <w:r w:rsidR="00107617">
        <w:t>38,1</w:t>
      </w:r>
      <w:r w:rsidR="00E21F78" w:rsidRPr="00C21ACA">
        <w:t>%</w:t>
      </w:r>
      <w:r w:rsidR="00E22844" w:rsidRPr="00C21ACA">
        <w:t xml:space="preserve">. </w:t>
      </w:r>
      <w:r w:rsidR="0013258D" w:rsidRPr="00C21ACA">
        <w:t xml:space="preserve"> </w:t>
      </w:r>
    </w:p>
    <w:p w:rsidR="00423906" w:rsidRDefault="00107617" w:rsidP="002D7A1F">
      <w:pPr>
        <w:jc w:val="both"/>
      </w:pPr>
      <w:r w:rsidRPr="004C2E30">
        <w:t xml:space="preserve">Prihodi od dividendi i dobiti banaka i poduzeća u vlasništvu države </w:t>
      </w:r>
      <w:r w:rsidR="00423906">
        <w:t xml:space="preserve">ostvareni su u iznosu od 1,1 milijarde kuna, pri čemu su najveći iznos po osnovi dobiti uplatili </w:t>
      </w:r>
      <w:r w:rsidR="00423906" w:rsidRPr="00615E25">
        <w:t xml:space="preserve">Hrvatska elektroprivreda d.d., Zagreb </w:t>
      </w:r>
      <w:r w:rsidR="00C43DF1">
        <w:t>i to 212,4 milijuna kuna te Zračna luka Split 41,4 milijuna kuna. N</w:t>
      </w:r>
      <w:r w:rsidR="00423906" w:rsidRPr="00615E25">
        <w:t xml:space="preserve">ajveći prihod po osnovi dividendi uplaćen </w:t>
      </w:r>
      <w:r w:rsidR="00A449B4">
        <w:t xml:space="preserve">je </w:t>
      </w:r>
      <w:r w:rsidR="00423906" w:rsidRPr="00615E25">
        <w:t>od INA-e i to u iznosu od 560,4 milijuna kuna.</w:t>
      </w:r>
    </w:p>
    <w:p w:rsidR="00914C68" w:rsidRDefault="0013258D" w:rsidP="002D7A1F">
      <w:pPr>
        <w:jc w:val="both"/>
      </w:pPr>
      <w:r w:rsidRPr="00C21ACA">
        <w:t>Prihode od nefinancijske imovine čine prihodi od koncesija, iznajmljivanja i zakupa imovine, naknada za korištenje nefinancijske imovine te ostalih prihoda od nefinancijske imovine.</w:t>
      </w:r>
      <w:r w:rsidR="00E22844" w:rsidRPr="00C21ACA">
        <w:t xml:space="preserve"> Prihodi od nefinancijske imovine u 201</w:t>
      </w:r>
      <w:r w:rsidR="00107617">
        <w:t>9</w:t>
      </w:r>
      <w:r w:rsidR="00E22844" w:rsidRPr="00C21ACA">
        <w:t xml:space="preserve">. godini iznose </w:t>
      </w:r>
      <w:r w:rsidR="00107617">
        <w:t>816 milijuna</w:t>
      </w:r>
      <w:r w:rsidR="00E22844" w:rsidRPr="00C21ACA">
        <w:t xml:space="preserve"> kuna i smanjuju se za</w:t>
      </w:r>
      <w:r w:rsidR="00914C68">
        <w:t xml:space="preserve"> čak 24,9</w:t>
      </w:r>
      <w:r w:rsidR="00E22844" w:rsidRPr="00C21ACA">
        <w:t>% na međugodišnjoj razini.</w:t>
      </w:r>
      <w:bookmarkStart w:id="4" w:name="_Toc134353536"/>
      <w:r w:rsidR="00F446B9" w:rsidRPr="00C21ACA">
        <w:t xml:space="preserve"> Osnovni </w:t>
      </w:r>
      <w:r w:rsidR="0019388A">
        <w:t xml:space="preserve">razlog ovakvog smanjenja </w:t>
      </w:r>
      <w:r w:rsidR="00F446B9" w:rsidRPr="00C21ACA">
        <w:t>jest pad prihoda od koncesija</w:t>
      </w:r>
      <w:r w:rsidR="00D94482" w:rsidRPr="00C21ACA">
        <w:t xml:space="preserve"> </w:t>
      </w:r>
      <w:r w:rsidR="0019388A">
        <w:t xml:space="preserve">i to </w:t>
      </w:r>
      <w:r w:rsidR="0019388A" w:rsidRPr="00C21ACA">
        <w:t xml:space="preserve">zbog smanjenja prihoda od naknada za uporabu </w:t>
      </w:r>
      <w:proofErr w:type="spellStart"/>
      <w:r w:rsidR="0019388A" w:rsidRPr="00C21ACA">
        <w:t>radiofrkvencijskog</w:t>
      </w:r>
      <w:proofErr w:type="spellEnd"/>
      <w:r w:rsidR="0019388A" w:rsidRPr="00C21ACA">
        <w:t xml:space="preserve"> spektra </w:t>
      </w:r>
      <w:r w:rsidR="0019388A">
        <w:t>te</w:t>
      </w:r>
      <w:r w:rsidR="0019388A" w:rsidRPr="00C21ACA">
        <w:t xml:space="preserve"> </w:t>
      </w:r>
      <w:r w:rsidR="00D94482" w:rsidRPr="00C21ACA">
        <w:t>naknade za uporabu nefinancijske imovine</w:t>
      </w:r>
      <w:r w:rsidR="000B333F" w:rsidRPr="00C21ACA">
        <w:t xml:space="preserve">. </w:t>
      </w:r>
    </w:p>
    <w:p w:rsidR="00107617" w:rsidRDefault="00F446B9" w:rsidP="002D7A1F">
      <w:pPr>
        <w:jc w:val="both"/>
      </w:pPr>
      <w:r w:rsidRPr="00C21ACA">
        <w:t>Prihod od kamata na dane zajmove u 201</w:t>
      </w:r>
      <w:r w:rsidR="00914C68">
        <w:t>9</w:t>
      </w:r>
      <w:r w:rsidRPr="00C21ACA">
        <w:t xml:space="preserve">. godini iznosi </w:t>
      </w:r>
      <w:r w:rsidR="00914C68">
        <w:t>334,4</w:t>
      </w:r>
      <w:r w:rsidRPr="00C21ACA">
        <w:t xml:space="preserve"> milijuna kuna</w:t>
      </w:r>
      <w:r w:rsidR="00914C68">
        <w:t xml:space="preserve"> te je </w:t>
      </w:r>
      <w:r w:rsidR="00A449B4">
        <w:t>značajno</w:t>
      </w:r>
      <w:r w:rsidRPr="00C21ACA">
        <w:t xml:space="preserve"> </w:t>
      </w:r>
      <w:r w:rsidR="00A449B4">
        <w:t>veći nego</w:t>
      </w:r>
      <w:r w:rsidR="00914C68">
        <w:t xml:space="preserve"> u prethodnim godinama. R</w:t>
      </w:r>
      <w:r w:rsidR="00107617">
        <w:t xml:space="preserve">azlog tome je prihod koji su, u iznosu od 319,9 milijuna kuna, </w:t>
      </w:r>
      <w:r w:rsidR="00107617" w:rsidRPr="001347C6">
        <w:t>Hrvatsk</w:t>
      </w:r>
      <w:r w:rsidR="00107617">
        <w:t>e</w:t>
      </w:r>
      <w:r w:rsidR="00107617" w:rsidRPr="001347C6">
        <w:t xml:space="preserve"> autocest</w:t>
      </w:r>
      <w:r w:rsidR="00107617">
        <w:t>e</w:t>
      </w:r>
      <w:r w:rsidR="00107617" w:rsidRPr="001347C6">
        <w:t>, Autocest</w:t>
      </w:r>
      <w:r w:rsidR="00107617">
        <w:t>a</w:t>
      </w:r>
      <w:r w:rsidR="00107617" w:rsidRPr="001347C6">
        <w:t xml:space="preserve"> Rijeka - Zagreb i Hrvatsk</w:t>
      </w:r>
      <w:r w:rsidR="00107617">
        <w:t>e</w:t>
      </w:r>
      <w:r w:rsidR="00107617" w:rsidRPr="001347C6">
        <w:t xml:space="preserve"> cest</w:t>
      </w:r>
      <w:r w:rsidR="00107617">
        <w:t>e uplatile u državni proračun, a po osnovi Ugovora s Ministarstvom financija vezano uz financijsko restrukturiranje cestarskih društava odnosno refinanciranja njihovih obveza temeljem izdane obveznice.</w:t>
      </w:r>
      <w:r w:rsidR="00107617" w:rsidRPr="001347C6">
        <w:t xml:space="preserve"> </w:t>
      </w:r>
    </w:p>
    <w:p w:rsidR="00914C68" w:rsidRDefault="00914C68" w:rsidP="002D7A1F">
      <w:pPr>
        <w:jc w:val="both"/>
      </w:pPr>
      <w:r>
        <w:t xml:space="preserve">Tijekom 2019. ostvareni su i prihodi </w:t>
      </w:r>
      <w:r w:rsidRPr="00914C68">
        <w:t>od kamata na dane zajmove po protestiranim jamstvima</w:t>
      </w:r>
      <w:r>
        <w:t xml:space="preserve"> u iznosu od 53,7 milijuna kuna. </w:t>
      </w:r>
    </w:p>
    <w:p w:rsidR="00A449B4" w:rsidRDefault="00A449B4" w:rsidP="002D7A1F">
      <w:pPr>
        <w:jc w:val="both"/>
      </w:pPr>
    </w:p>
    <w:p w:rsidR="00CF13BA" w:rsidRPr="00213CCE" w:rsidRDefault="00C35140" w:rsidP="002D7A1F">
      <w:pPr>
        <w:jc w:val="both"/>
        <w:rPr>
          <w:i/>
        </w:rPr>
      </w:pPr>
      <w:r w:rsidRPr="00213CCE">
        <w:rPr>
          <w:i/>
        </w:rPr>
        <w:t>Tablica 4. P</w:t>
      </w:r>
      <w:r w:rsidR="00CF13BA" w:rsidRPr="00213CCE">
        <w:rPr>
          <w:i/>
        </w:rPr>
        <w:t>rihod</w:t>
      </w:r>
      <w:r w:rsidR="001A1B4C" w:rsidRPr="00213CCE">
        <w:rPr>
          <w:i/>
        </w:rPr>
        <w:t>i</w:t>
      </w:r>
      <w:r w:rsidR="00CF13BA" w:rsidRPr="00213CCE">
        <w:rPr>
          <w:i/>
        </w:rPr>
        <w:t xml:space="preserve"> od imovine u </w:t>
      </w:r>
      <w:r w:rsidRPr="00213CCE">
        <w:rPr>
          <w:i/>
        </w:rPr>
        <w:t>201</w:t>
      </w:r>
      <w:r w:rsidR="00914C68" w:rsidRPr="00213CCE">
        <w:rPr>
          <w:i/>
        </w:rPr>
        <w:t>8</w:t>
      </w:r>
      <w:r w:rsidRPr="00213CCE">
        <w:rPr>
          <w:i/>
        </w:rPr>
        <w:t xml:space="preserve">. i </w:t>
      </w:r>
      <w:r w:rsidR="00CF13BA" w:rsidRPr="00213CCE">
        <w:rPr>
          <w:i/>
        </w:rPr>
        <w:t>201</w:t>
      </w:r>
      <w:r w:rsidR="00914C68" w:rsidRPr="00213CCE">
        <w:rPr>
          <w:i/>
        </w:rPr>
        <w:t>9</w:t>
      </w:r>
      <w:r w:rsidR="00CF13BA" w:rsidRPr="00213CCE">
        <w:rPr>
          <w:i/>
        </w:rPr>
        <w:t xml:space="preserve">. </w:t>
      </w:r>
      <w:r w:rsidR="0072083B" w:rsidRPr="00213CCE">
        <w:rPr>
          <w:i/>
        </w:rPr>
        <w:t>g</w:t>
      </w:r>
      <w:r w:rsidR="00CF13BA" w:rsidRPr="00213CCE">
        <w:rPr>
          <w:i/>
        </w:rPr>
        <w:t>odini</w:t>
      </w:r>
      <w:bookmarkEnd w:id="4"/>
      <w:r w:rsidR="0072083B" w:rsidRPr="00213CCE">
        <w:rPr>
          <w:i/>
        </w:rPr>
        <w:t xml:space="preserve"> </w:t>
      </w:r>
    </w:p>
    <w:p w:rsidR="00CF13BA" w:rsidRPr="00C21ACA" w:rsidRDefault="0092324A" w:rsidP="002D7A1F">
      <w:pPr>
        <w:jc w:val="both"/>
      </w:pPr>
      <w:r>
        <w:rPr>
          <w:noProof/>
        </w:rPr>
        <w:drawing>
          <wp:inline distT="0" distB="0" distL="0" distR="0" wp14:anchorId="09577C60" wp14:editId="7C4B20EC">
            <wp:extent cx="5372100" cy="140017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1400175"/>
                    </a:xfrm>
                    <a:prstGeom prst="rect">
                      <a:avLst/>
                    </a:prstGeom>
                    <a:noFill/>
                    <a:ln>
                      <a:noFill/>
                    </a:ln>
                  </pic:spPr>
                </pic:pic>
              </a:graphicData>
            </a:graphic>
          </wp:inline>
        </w:drawing>
      </w:r>
    </w:p>
    <w:p w:rsidR="00735C67" w:rsidRPr="00C21ACA" w:rsidRDefault="00735C67" w:rsidP="002D7A1F">
      <w:pPr>
        <w:jc w:val="both"/>
      </w:pPr>
    </w:p>
    <w:p w:rsidR="00B83278" w:rsidRPr="00C21ACA" w:rsidRDefault="00B83278" w:rsidP="002D7A1F">
      <w:pPr>
        <w:jc w:val="both"/>
        <w:rPr>
          <w:i/>
        </w:rPr>
      </w:pPr>
      <w:bookmarkStart w:id="5" w:name="_Toc134353537"/>
      <w:r w:rsidRPr="00C21ACA">
        <w:rPr>
          <w:b/>
          <w:i/>
        </w:rPr>
        <w:t>Prihodi od upravnih i administrativnih pristojbi, pristojbi po posebnim propisima i naknada</w:t>
      </w:r>
    </w:p>
    <w:p w:rsidR="009F3915" w:rsidRPr="00CE3AEB" w:rsidRDefault="009F3915" w:rsidP="002D7A1F">
      <w:pPr>
        <w:jc w:val="both"/>
        <w:rPr>
          <w:bCs/>
          <w:iCs/>
        </w:rPr>
      </w:pPr>
    </w:p>
    <w:p w:rsidR="005B59FA" w:rsidRPr="00C21ACA" w:rsidRDefault="00370328" w:rsidP="002D7A1F">
      <w:pPr>
        <w:jc w:val="both"/>
      </w:pPr>
      <w:r w:rsidRPr="00C21ACA">
        <w:t xml:space="preserve">Prihodi od upravnih i administrativnih pristojbi, pristojbi po posebnim propisima i naknada </w:t>
      </w:r>
      <w:r w:rsidR="00B83278" w:rsidRPr="00C21ACA">
        <w:t>u 201</w:t>
      </w:r>
      <w:r w:rsidR="00CC71A2">
        <w:t>9</w:t>
      </w:r>
      <w:r w:rsidR="00B83278" w:rsidRPr="00C21ACA">
        <w:t xml:space="preserve">. godini ostvareni </w:t>
      </w:r>
      <w:r w:rsidRPr="00C21ACA">
        <w:t xml:space="preserve">su </w:t>
      </w:r>
      <w:r w:rsidR="00B83278" w:rsidRPr="00C21ACA">
        <w:t xml:space="preserve">u iznosu od </w:t>
      </w:r>
      <w:r w:rsidR="00E21F78" w:rsidRPr="00C21ACA">
        <w:t>4,</w:t>
      </w:r>
      <w:r w:rsidR="00CC71A2">
        <w:t>8</w:t>
      </w:r>
      <w:r w:rsidR="003B13F5" w:rsidRPr="00C21ACA">
        <w:t xml:space="preserve"> milijard</w:t>
      </w:r>
      <w:r w:rsidR="001C2A47" w:rsidRPr="00C21ACA">
        <w:t>i</w:t>
      </w:r>
      <w:r w:rsidR="00B83278" w:rsidRPr="00C21ACA">
        <w:t xml:space="preserve"> kuna, što čini međugodišnji </w:t>
      </w:r>
      <w:r w:rsidR="00112FBF" w:rsidRPr="00C21ACA">
        <w:t>rast</w:t>
      </w:r>
      <w:r w:rsidR="00B83278" w:rsidRPr="00C21ACA">
        <w:t xml:space="preserve"> od </w:t>
      </w:r>
      <w:r w:rsidR="00CC71A2">
        <w:t>4,9</w:t>
      </w:r>
      <w:r w:rsidR="00B83278" w:rsidRPr="00C21ACA">
        <w:t xml:space="preserve">%. </w:t>
      </w:r>
      <w:r w:rsidR="00112FBF" w:rsidRPr="00C21ACA">
        <w:t xml:space="preserve">Pritom, prihodi od upravnih i administrativnih pristojbi iznose </w:t>
      </w:r>
      <w:r w:rsidR="00CC71A2">
        <w:t>715,2</w:t>
      </w:r>
      <w:r w:rsidR="00112FBF" w:rsidRPr="00C21ACA">
        <w:t xml:space="preserve"> milijuna kuna i na međugodišnjoj razini </w:t>
      </w:r>
      <w:r w:rsidR="00017DA9" w:rsidRPr="00C21ACA">
        <w:t>rastu</w:t>
      </w:r>
      <w:r w:rsidR="00112FBF" w:rsidRPr="00C21ACA">
        <w:t xml:space="preserve"> za </w:t>
      </w:r>
      <w:r w:rsidR="00CC71A2">
        <w:t>6,1</w:t>
      </w:r>
      <w:r w:rsidR="00471C65">
        <w:t>%, a uključuju</w:t>
      </w:r>
      <w:r w:rsidR="00A449B4">
        <w:t xml:space="preserve"> i</w:t>
      </w:r>
      <w:r w:rsidR="00471C65">
        <w:t xml:space="preserve"> prethodno spomenute</w:t>
      </w:r>
      <w:r w:rsidR="00911A01" w:rsidRPr="00911A01">
        <w:t xml:space="preserve"> upravn</w:t>
      </w:r>
      <w:r w:rsidR="00471C65">
        <w:t>e</w:t>
      </w:r>
      <w:r w:rsidR="00911A01" w:rsidRPr="00911A01">
        <w:t xml:space="preserve"> pristojb</w:t>
      </w:r>
      <w:r w:rsidR="00471C65">
        <w:t>e</w:t>
      </w:r>
      <w:r w:rsidR="00911A01" w:rsidRPr="00911A01">
        <w:t xml:space="preserve"> koje se naplaćuju kod stjecanja rabljenih vozila</w:t>
      </w:r>
      <w:r w:rsidR="00911A01">
        <w:t>.</w:t>
      </w:r>
      <w:r w:rsidR="00471C65">
        <w:t xml:space="preserve"> P</w:t>
      </w:r>
      <w:r w:rsidR="00112FBF" w:rsidRPr="00C21ACA">
        <w:t>rihodi po posebnim prop</w:t>
      </w:r>
      <w:r w:rsidR="00382640" w:rsidRPr="00C21ACA">
        <w:t>isima</w:t>
      </w:r>
      <w:r w:rsidR="00471C65">
        <w:t xml:space="preserve">, koji se većim </w:t>
      </w:r>
      <w:r w:rsidR="00471C65">
        <w:lastRenderedPageBreak/>
        <w:t xml:space="preserve">dijelom odnose na </w:t>
      </w:r>
      <w:r w:rsidR="00471C65" w:rsidRPr="00471C65">
        <w:t>namjensk</w:t>
      </w:r>
      <w:r w:rsidR="00471C65">
        <w:t>e</w:t>
      </w:r>
      <w:r w:rsidR="00471C65" w:rsidRPr="00471C65">
        <w:t xml:space="preserve"> prihod</w:t>
      </w:r>
      <w:r w:rsidR="00471C65">
        <w:t>e</w:t>
      </w:r>
      <w:r w:rsidR="00471C65" w:rsidRPr="00471C65">
        <w:t xml:space="preserve"> </w:t>
      </w:r>
      <w:r w:rsidR="00471C65">
        <w:t xml:space="preserve">u sustavu znanosti i kod drugih </w:t>
      </w:r>
      <w:r w:rsidR="00471C65" w:rsidRPr="00471C65">
        <w:t>proračunskih korisnika</w:t>
      </w:r>
      <w:r w:rsidR="00471C65">
        <w:t xml:space="preserve">, </w:t>
      </w:r>
      <w:r w:rsidR="00382640" w:rsidRPr="00C21ACA">
        <w:t xml:space="preserve">iznose </w:t>
      </w:r>
      <w:r w:rsidR="00CC71A2">
        <w:t>4</w:t>
      </w:r>
      <w:r w:rsidR="00382640" w:rsidRPr="00C21ACA">
        <w:t xml:space="preserve"> milijard</w:t>
      </w:r>
      <w:r w:rsidR="00CC71A2">
        <w:t>e</w:t>
      </w:r>
      <w:r w:rsidR="00382640" w:rsidRPr="00C21ACA">
        <w:t xml:space="preserve"> kuna</w:t>
      </w:r>
      <w:r w:rsidR="00471C65">
        <w:t>,</w:t>
      </w:r>
      <w:r w:rsidR="00382640" w:rsidRPr="00C21ACA">
        <w:t xml:space="preserve"> </w:t>
      </w:r>
      <w:r w:rsidR="001C2A47" w:rsidRPr="00C21ACA">
        <w:t xml:space="preserve">što </w:t>
      </w:r>
      <w:r w:rsidR="00471C65">
        <w:t>je</w:t>
      </w:r>
      <w:r w:rsidR="001C2A47" w:rsidRPr="00C21ACA">
        <w:t xml:space="preserve"> </w:t>
      </w:r>
      <w:r w:rsidR="00CC71A2">
        <w:t>4,6</w:t>
      </w:r>
      <w:r w:rsidR="001C2A47" w:rsidRPr="00C21ACA">
        <w:t>%</w:t>
      </w:r>
      <w:r w:rsidR="00112FBF" w:rsidRPr="00C21ACA">
        <w:t xml:space="preserve"> </w:t>
      </w:r>
      <w:r w:rsidR="00CC71A2">
        <w:t>više</w:t>
      </w:r>
      <w:r w:rsidR="00471C65">
        <w:t xml:space="preserve"> u </w:t>
      </w:r>
      <w:r w:rsidR="00112FBF" w:rsidRPr="00C21ACA">
        <w:t>odnosu na 201</w:t>
      </w:r>
      <w:r w:rsidR="00CC71A2">
        <w:t>8</w:t>
      </w:r>
      <w:r w:rsidR="00471C65">
        <w:t>. godinu</w:t>
      </w:r>
      <w:r w:rsidR="005B59FA" w:rsidRPr="00C21ACA">
        <w:t xml:space="preserve">. </w:t>
      </w:r>
    </w:p>
    <w:p w:rsidR="005B59FA" w:rsidRPr="00C21ACA" w:rsidRDefault="005B59FA" w:rsidP="002D7A1F">
      <w:pPr>
        <w:jc w:val="both"/>
      </w:pPr>
    </w:p>
    <w:p w:rsidR="009F3915" w:rsidRPr="00C21ACA" w:rsidRDefault="009F3915" w:rsidP="002D7A1F">
      <w:pPr>
        <w:jc w:val="both"/>
        <w:rPr>
          <w:b/>
          <w:i/>
        </w:rPr>
      </w:pPr>
      <w:r w:rsidRPr="00C21ACA">
        <w:rPr>
          <w:b/>
          <w:i/>
        </w:rPr>
        <w:t>Prihodi od prodaje proizvoda i roba te pruženih usluga i prihodi od donacija</w:t>
      </w:r>
    </w:p>
    <w:p w:rsidR="009F3915" w:rsidRPr="00CE3AEB" w:rsidRDefault="009F3915" w:rsidP="002D7A1F">
      <w:pPr>
        <w:jc w:val="both"/>
        <w:rPr>
          <w:bCs/>
          <w:iCs/>
        </w:rPr>
      </w:pPr>
    </w:p>
    <w:p w:rsidR="00C14BD8" w:rsidRPr="00C21ACA" w:rsidRDefault="009F3915" w:rsidP="002D7A1F">
      <w:pPr>
        <w:jc w:val="both"/>
      </w:pPr>
      <w:r w:rsidRPr="00C21ACA">
        <w:t>Prihodi od prodaje proizvoda i roba te pruženih usluga te prihodi od donacija namjenski su prihodi proračunskih korisnika, a tijekom 201</w:t>
      </w:r>
      <w:r w:rsidR="00CC71A2">
        <w:t>9</w:t>
      </w:r>
      <w:r w:rsidRPr="00C21ACA">
        <w:t xml:space="preserve">. godine ostvareni su u iznosu od </w:t>
      </w:r>
      <w:r w:rsidR="00C14BD8" w:rsidRPr="00C21ACA">
        <w:t>1,</w:t>
      </w:r>
      <w:r w:rsidR="00E80E82" w:rsidRPr="00C21ACA">
        <w:t>3</w:t>
      </w:r>
      <w:r w:rsidRPr="00C21ACA">
        <w:t xml:space="preserve"> </w:t>
      </w:r>
      <w:r w:rsidR="00C14BD8" w:rsidRPr="00C21ACA">
        <w:t>milijarde kuna</w:t>
      </w:r>
      <w:r w:rsidR="00382640" w:rsidRPr="00C21ACA">
        <w:t xml:space="preserve"> </w:t>
      </w:r>
      <w:r w:rsidR="00E80E82" w:rsidRPr="00C21ACA">
        <w:t>te se na međugodišnjoj razini smanjuju za</w:t>
      </w:r>
      <w:r w:rsidR="00382640" w:rsidRPr="00C21ACA">
        <w:t xml:space="preserve"> </w:t>
      </w:r>
      <w:r w:rsidR="00CC71A2">
        <w:t>1,7</w:t>
      </w:r>
      <w:r w:rsidR="00382640" w:rsidRPr="00C21ACA">
        <w:t>%</w:t>
      </w:r>
      <w:r w:rsidR="00471C65">
        <w:t>. Pritom</w:t>
      </w:r>
      <w:r w:rsidRPr="00C21ACA">
        <w:t xml:space="preserve"> su prihodi od vlastite djelatnosti proračunskih korisnika u 201</w:t>
      </w:r>
      <w:r w:rsidR="00CC71A2">
        <w:t>9</w:t>
      </w:r>
      <w:r w:rsidRPr="00C21ACA">
        <w:t xml:space="preserve">. godini iznosili </w:t>
      </w:r>
      <w:r w:rsidR="00C14BD8" w:rsidRPr="00C21ACA">
        <w:t>1,1</w:t>
      </w:r>
      <w:r w:rsidRPr="00C21ACA">
        <w:t xml:space="preserve"> </w:t>
      </w:r>
      <w:r w:rsidR="00C14BD8" w:rsidRPr="00C21ACA">
        <w:t>milijardu</w:t>
      </w:r>
      <w:r w:rsidRPr="00C21ACA">
        <w:t xml:space="preserve"> kuna, dok su prihodi od donacija ostvareni u iznosu od </w:t>
      </w:r>
      <w:r w:rsidR="00CC71A2">
        <w:t>166</w:t>
      </w:r>
      <w:r w:rsidRPr="00C21ACA">
        <w:t xml:space="preserve"> milijuna kuna. </w:t>
      </w:r>
    </w:p>
    <w:p w:rsidR="00C14BD8" w:rsidRPr="00C21ACA" w:rsidRDefault="00C14BD8" w:rsidP="002D7A1F">
      <w:pPr>
        <w:jc w:val="both"/>
      </w:pPr>
    </w:p>
    <w:p w:rsidR="00C14BD8" w:rsidRDefault="00C14BD8" w:rsidP="002D7A1F">
      <w:pPr>
        <w:rPr>
          <w:b/>
          <w:bCs/>
          <w:i/>
          <w:iCs/>
        </w:rPr>
      </w:pPr>
      <w:r w:rsidRPr="00C21ACA">
        <w:rPr>
          <w:b/>
          <w:bCs/>
          <w:i/>
          <w:iCs/>
        </w:rPr>
        <w:t>Prihodi od HZZO-a temeljem ugovornih obveza</w:t>
      </w:r>
    </w:p>
    <w:p w:rsidR="00CE3AEB" w:rsidRPr="00E94F88" w:rsidRDefault="00CE3AEB" w:rsidP="002D7A1F">
      <w:pPr>
        <w:jc w:val="both"/>
        <w:rPr>
          <w:bCs/>
          <w:iCs/>
        </w:rPr>
      </w:pPr>
    </w:p>
    <w:p w:rsidR="00470CAA" w:rsidRPr="00C21ACA" w:rsidRDefault="00C14BD8" w:rsidP="002D7A1F">
      <w:pPr>
        <w:jc w:val="both"/>
      </w:pPr>
      <w:r w:rsidRPr="00C21ACA">
        <w:t>Prihodi od HZZO-a temeljem ugovornih obveza</w:t>
      </w:r>
      <w:r w:rsidR="00E45A78">
        <w:t>, a koji se odnose na prihode državnih bolničkih ustanova,</w:t>
      </w:r>
      <w:r w:rsidRPr="00C21ACA">
        <w:t xml:space="preserve"> u 201</w:t>
      </w:r>
      <w:r w:rsidR="00CC71A2">
        <w:t>9</w:t>
      </w:r>
      <w:r w:rsidRPr="00C21ACA">
        <w:t xml:space="preserve">. godini iznose </w:t>
      </w:r>
      <w:r w:rsidR="00CC71A2">
        <w:t>7,7</w:t>
      </w:r>
      <w:r w:rsidRPr="00C21ACA">
        <w:t xml:space="preserve"> milijard</w:t>
      </w:r>
      <w:r w:rsidR="00382640" w:rsidRPr="00C21ACA">
        <w:t>i</w:t>
      </w:r>
      <w:r w:rsidRPr="00C21ACA">
        <w:t xml:space="preserve"> kuna te su ostvareni </w:t>
      </w:r>
      <w:r w:rsidR="00CC71A2">
        <w:t>8,3</w:t>
      </w:r>
      <w:r w:rsidRPr="00C21ACA">
        <w:t xml:space="preserve">% </w:t>
      </w:r>
      <w:r w:rsidR="00E80E82" w:rsidRPr="00C21ACA">
        <w:t>više</w:t>
      </w:r>
      <w:r w:rsidRPr="00C21ACA">
        <w:t xml:space="preserve"> od planiranih. </w:t>
      </w:r>
      <w:r w:rsidR="000B333F" w:rsidRPr="00C21ACA">
        <w:t xml:space="preserve">Na međugodišnjoj razini ova kategorija prihoda bilježi rast od </w:t>
      </w:r>
      <w:r w:rsidR="00CC71A2">
        <w:t>19,1</w:t>
      </w:r>
      <w:r w:rsidR="000B333F" w:rsidRPr="00C21ACA">
        <w:t>% u odnosu na 201</w:t>
      </w:r>
      <w:r w:rsidR="00CC71A2">
        <w:t>8</w:t>
      </w:r>
      <w:r w:rsidR="000B333F" w:rsidRPr="00C21ACA">
        <w:t xml:space="preserve">. godinu. </w:t>
      </w:r>
    </w:p>
    <w:p w:rsidR="00470CAA" w:rsidRPr="00471C65" w:rsidRDefault="00470CAA" w:rsidP="002D7A1F"/>
    <w:p w:rsidR="008B5081" w:rsidRPr="00C21ACA" w:rsidRDefault="008B5081" w:rsidP="002D7A1F">
      <w:pPr>
        <w:rPr>
          <w:b/>
          <w:i/>
        </w:rPr>
      </w:pPr>
      <w:r w:rsidRPr="00C21ACA">
        <w:rPr>
          <w:b/>
          <w:i/>
        </w:rPr>
        <w:t>Prihodi od kazni, upravnih mjera i ostali prihodi</w:t>
      </w:r>
    </w:p>
    <w:p w:rsidR="008B5081" w:rsidRPr="00CE3AEB" w:rsidRDefault="008B5081" w:rsidP="002D7A1F">
      <w:pPr>
        <w:jc w:val="both"/>
        <w:rPr>
          <w:bCs/>
          <w:iCs/>
        </w:rPr>
      </w:pPr>
    </w:p>
    <w:p w:rsidR="008B5081" w:rsidRPr="00C21ACA" w:rsidRDefault="00EE1E1E" w:rsidP="002D7A1F">
      <w:pPr>
        <w:jc w:val="both"/>
      </w:pPr>
      <w:r w:rsidRPr="00C21ACA">
        <w:t>Prihodi od kazni, upravnih mjera i ostali prihodi tijekom 201</w:t>
      </w:r>
      <w:r w:rsidR="006D2009">
        <w:t>9</w:t>
      </w:r>
      <w:r w:rsidRPr="00C21ACA">
        <w:t xml:space="preserve">. godine prikupljeni su u iznosu od </w:t>
      </w:r>
      <w:r w:rsidR="006D2009">
        <w:t>632,5</w:t>
      </w:r>
      <w:r w:rsidR="00497463" w:rsidRPr="00C21ACA">
        <w:t xml:space="preserve"> </w:t>
      </w:r>
      <w:r w:rsidRPr="00C21ACA">
        <w:t>milijuna kuna</w:t>
      </w:r>
      <w:r w:rsidR="00382640" w:rsidRPr="00C21ACA">
        <w:t xml:space="preserve">, što čini međugodišnji </w:t>
      </w:r>
      <w:r w:rsidR="006D2009">
        <w:t>rast</w:t>
      </w:r>
      <w:r w:rsidR="00382640" w:rsidRPr="00C21ACA">
        <w:t xml:space="preserve"> od </w:t>
      </w:r>
      <w:r w:rsidR="006D2009">
        <w:t>14,7</w:t>
      </w:r>
      <w:r w:rsidR="00382640" w:rsidRPr="00C21ACA">
        <w:t>%</w:t>
      </w:r>
      <w:r w:rsidR="00C14BD8" w:rsidRPr="00C21ACA">
        <w:t xml:space="preserve">. </w:t>
      </w:r>
      <w:r w:rsidR="008B5081" w:rsidRPr="00C21ACA">
        <w:t xml:space="preserve">Prihodi od kazni ostvareni su najviše od kazni za prekršaje u prometu, dok se </w:t>
      </w:r>
      <w:r w:rsidR="00B6094A">
        <w:t>preostali dio</w:t>
      </w:r>
      <w:r w:rsidR="008B5081" w:rsidRPr="00C21ACA">
        <w:t xml:space="preserve"> odnosi na kazne u poreznim, carinskim i deviznim prekršajima, kazne za privredne prijestupe te druge upravne mjere. </w:t>
      </w:r>
    </w:p>
    <w:p w:rsidR="006D2009" w:rsidRPr="00C21ACA" w:rsidRDefault="006D2009" w:rsidP="002D7A1F">
      <w:pPr>
        <w:jc w:val="both"/>
      </w:pPr>
    </w:p>
    <w:p w:rsidR="00C14BD8" w:rsidRPr="00213CCE" w:rsidRDefault="00CF13BA" w:rsidP="002D7A1F">
      <w:pPr>
        <w:jc w:val="both"/>
        <w:rPr>
          <w:i/>
        </w:rPr>
      </w:pPr>
      <w:r w:rsidRPr="00213CCE">
        <w:rPr>
          <w:i/>
        </w:rPr>
        <w:t xml:space="preserve">Tablica 5. </w:t>
      </w:r>
      <w:r w:rsidR="000D76A0" w:rsidRPr="00213CCE">
        <w:rPr>
          <w:i/>
        </w:rPr>
        <w:t>Prihodi od upravnih i administrativnih pristojbi, pristojbi po posebnim propisima i naknada te ostali prihodi u 201</w:t>
      </w:r>
      <w:r w:rsidR="006D2009" w:rsidRPr="00213CCE">
        <w:rPr>
          <w:i/>
        </w:rPr>
        <w:t>8</w:t>
      </w:r>
      <w:r w:rsidR="000D76A0" w:rsidRPr="00213CCE">
        <w:rPr>
          <w:i/>
        </w:rPr>
        <w:t xml:space="preserve">. i </w:t>
      </w:r>
      <w:r w:rsidRPr="00213CCE">
        <w:rPr>
          <w:i/>
        </w:rPr>
        <w:t>201</w:t>
      </w:r>
      <w:r w:rsidR="006D2009" w:rsidRPr="00213CCE">
        <w:rPr>
          <w:i/>
        </w:rPr>
        <w:t>9</w:t>
      </w:r>
      <w:r w:rsidRPr="00213CCE">
        <w:rPr>
          <w:i/>
        </w:rPr>
        <w:t xml:space="preserve">. </w:t>
      </w:r>
      <w:r w:rsidR="00421722" w:rsidRPr="00213CCE">
        <w:rPr>
          <w:i/>
        </w:rPr>
        <w:t>g</w:t>
      </w:r>
      <w:r w:rsidRPr="00213CCE">
        <w:rPr>
          <w:i/>
        </w:rPr>
        <w:t>odini</w:t>
      </w:r>
      <w:bookmarkEnd w:id="5"/>
    </w:p>
    <w:p w:rsidR="00E72DE6" w:rsidRPr="00C21ACA" w:rsidRDefault="0092324A" w:rsidP="002D7A1F">
      <w:pPr>
        <w:jc w:val="both"/>
      </w:pPr>
      <w:r>
        <w:rPr>
          <w:noProof/>
        </w:rPr>
        <w:drawing>
          <wp:inline distT="0" distB="0" distL="0" distR="0" wp14:anchorId="693B0AD2" wp14:editId="191B1BB1">
            <wp:extent cx="5486400" cy="2428875"/>
            <wp:effectExtent l="0" t="0" r="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428875"/>
                    </a:xfrm>
                    <a:prstGeom prst="rect">
                      <a:avLst/>
                    </a:prstGeom>
                    <a:noFill/>
                    <a:ln>
                      <a:noFill/>
                    </a:ln>
                  </pic:spPr>
                </pic:pic>
              </a:graphicData>
            </a:graphic>
          </wp:inline>
        </w:drawing>
      </w:r>
    </w:p>
    <w:p w:rsidR="009F29D6" w:rsidRPr="00C21ACA" w:rsidRDefault="009F29D6" w:rsidP="002D7A1F">
      <w:pPr>
        <w:jc w:val="both"/>
      </w:pPr>
    </w:p>
    <w:p w:rsidR="00CF13BA" w:rsidRPr="00C21ACA" w:rsidRDefault="00CF13BA" w:rsidP="002D7A1F">
      <w:pPr>
        <w:jc w:val="both"/>
        <w:rPr>
          <w:b/>
          <w:bCs/>
          <w:iCs/>
          <w:u w:val="single"/>
        </w:rPr>
      </w:pPr>
      <w:r w:rsidRPr="00C21ACA">
        <w:rPr>
          <w:b/>
          <w:bCs/>
          <w:iCs/>
          <w:u w:val="single"/>
        </w:rPr>
        <w:t>Prihodi od prodaje nefinancijske imovine</w:t>
      </w:r>
    </w:p>
    <w:p w:rsidR="008F0D66" w:rsidRPr="00C21ACA" w:rsidRDefault="008F0D66" w:rsidP="002D7A1F">
      <w:pPr>
        <w:jc w:val="both"/>
      </w:pPr>
    </w:p>
    <w:p w:rsidR="007F7780" w:rsidRPr="00C21ACA" w:rsidRDefault="00ED3282" w:rsidP="002D7A1F">
      <w:pPr>
        <w:jc w:val="both"/>
      </w:pPr>
      <w:r w:rsidRPr="00C21ACA">
        <w:t>Prihodi od prodaje nefinancijske imovine tijekom 201</w:t>
      </w:r>
      <w:r w:rsidR="006D2009">
        <w:t>9</w:t>
      </w:r>
      <w:r w:rsidRPr="00C21ACA">
        <w:t xml:space="preserve">. godine ostvareni su u iznosu od </w:t>
      </w:r>
      <w:r w:rsidR="006D2009">
        <w:t>1,1</w:t>
      </w:r>
      <w:r w:rsidRPr="00C21ACA">
        <w:t xml:space="preserve"> </w:t>
      </w:r>
      <w:r w:rsidR="006D2009">
        <w:t>milijardu</w:t>
      </w:r>
      <w:r w:rsidRPr="00C21ACA">
        <w:t xml:space="preserve"> kuna, a sastoje se od prihoda od prodaje </w:t>
      </w:r>
      <w:proofErr w:type="spellStart"/>
      <w:r w:rsidRPr="00C21ACA">
        <w:t>neproizvedene</w:t>
      </w:r>
      <w:proofErr w:type="spellEnd"/>
      <w:r w:rsidRPr="00C21ACA">
        <w:t xml:space="preserve"> i </w:t>
      </w:r>
      <w:r w:rsidR="006D2009">
        <w:t xml:space="preserve">proizvedene dugotrajne imovine </w:t>
      </w:r>
      <w:r w:rsidRPr="00C21ACA">
        <w:t xml:space="preserve">te prihoda od prodaje proizvedene kratkotrajne imovine (zaliha). </w:t>
      </w:r>
      <w:r w:rsidR="00497463" w:rsidRPr="00C21ACA">
        <w:t xml:space="preserve">Ovi prihodi na međugodišnjoj osnovi </w:t>
      </w:r>
      <w:r w:rsidR="006D2009">
        <w:t>rastu</w:t>
      </w:r>
      <w:r w:rsidR="00497463" w:rsidRPr="00C21ACA">
        <w:t xml:space="preserve"> za 7</w:t>
      </w:r>
      <w:r w:rsidR="006D2009">
        <w:t>7,1</w:t>
      </w:r>
      <w:r w:rsidR="00F8008F" w:rsidRPr="00C21ACA">
        <w:t>%.</w:t>
      </w:r>
      <w:r w:rsidR="00497463" w:rsidRPr="00C21ACA">
        <w:t xml:space="preserve"> </w:t>
      </w:r>
      <w:r w:rsidR="00E45A78">
        <w:t xml:space="preserve">U njihovoj strukturi, </w:t>
      </w:r>
      <w:r w:rsidR="007F7780" w:rsidRPr="00C21ACA">
        <w:t xml:space="preserve">najveći dio odnosi se na prihode od prodaje proizvedene dugotrajne imovine, odnosno građevinskih objekata, postrojenja i opreme te </w:t>
      </w:r>
      <w:r w:rsidR="00B6094A">
        <w:t>prijevoznih</w:t>
      </w:r>
      <w:r w:rsidR="007F7780" w:rsidRPr="00C21ACA">
        <w:t xml:space="preserve"> sredstava, </w:t>
      </w:r>
      <w:r w:rsidR="00B6094A">
        <w:t xml:space="preserve">a </w:t>
      </w:r>
      <w:r w:rsidR="00EF1EEE" w:rsidRPr="00C21ACA">
        <w:t xml:space="preserve">koji iznose </w:t>
      </w:r>
      <w:r w:rsidR="006D2009">
        <w:t>647,4</w:t>
      </w:r>
      <w:r w:rsidR="00CF13BA" w:rsidRPr="00C21ACA">
        <w:t xml:space="preserve"> milijuna kuna</w:t>
      </w:r>
      <w:r w:rsidR="00EF1EEE" w:rsidRPr="00C21ACA">
        <w:t xml:space="preserve">. </w:t>
      </w:r>
      <w:r w:rsidR="00AD05E1" w:rsidRPr="00C21ACA">
        <w:t xml:space="preserve">Slijede prihodi </w:t>
      </w:r>
      <w:r w:rsidR="009527FC" w:rsidRPr="00C21ACA">
        <w:t xml:space="preserve">od prodaje </w:t>
      </w:r>
      <w:r w:rsidR="009527FC" w:rsidRPr="00C21ACA">
        <w:lastRenderedPageBreak/>
        <w:t xml:space="preserve">zaliha </w:t>
      </w:r>
      <w:r w:rsidR="00B6094A">
        <w:t>u iznosu od</w:t>
      </w:r>
      <w:r w:rsidR="009527FC" w:rsidRPr="00C21ACA">
        <w:t xml:space="preserve"> </w:t>
      </w:r>
      <w:r w:rsidR="006D2009">
        <w:t>308,7</w:t>
      </w:r>
      <w:r w:rsidR="00497463" w:rsidRPr="00C21ACA">
        <w:t xml:space="preserve"> milijun</w:t>
      </w:r>
      <w:r w:rsidR="006D2009">
        <w:t>a</w:t>
      </w:r>
      <w:r w:rsidR="009527FC" w:rsidRPr="00C21ACA">
        <w:t xml:space="preserve"> kuna te prihodi </w:t>
      </w:r>
      <w:r w:rsidR="00AD05E1" w:rsidRPr="00C21ACA">
        <w:t xml:space="preserve">od prodaje </w:t>
      </w:r>
      <w:proofErr w:type="spellStart"/>
      <w:r w:rsidR="00A230D1" w:rsidRPr="00C21ACA">
        <w:t>neproizvedene</w:t>
      </w:r>
      <w:proofErr w:type="spellEnd"/>
      <w:r w:rsidR="00A230D1" w:rsidRPr="00C21ACA">
        <w:t xml:space="preserve"> imovine</w:t>
      </w:r>
      <w:r w:rsidR="00AD05E1" w:rsidRPr="00C21ACA">
        <w:t>,</w:t>
      </w:r>
      <w:r w:rsidRPr="00C21ACA">
        <w:t xml:space="preserve"> odnosno zemljišta,</w:t>
      </w:r>
      <w:r w:rsidR="00AD05E1" w:rsidRPr="00C21ACA">
        <w:t xml:space="preserve"> </w:t>
      </w:r>
      <w:r w:rsidR="00B6094A">
        <w:t>u iznosu od</w:t>
      </w:r>
      <w:r w:rsidR="00AD05E1" w:rsidRPr="00C21ACA">
        <w:t xml:space="preserve"> </w:t>
      </w:r>
      <w:r w:rsidR="006D2009">
        <w:t>106,6</w:t>
      </w:r>
      <w:r w:rsidR="00AD05E1" w:rsidRPr="00C21ACA">
        <w:t xml:space="preserve"> milijuna kuna</w:t>
      </w:r>
      <w:r w:rsidR="009527FC" w:rsidRPr="00C21ACA">
        <w:t xml:space="preserve">. </w:t>
      </w:r>
      <w:r w:rsidR="006D2009">
        <w:t xml:space="preserve">Značajan rast prihoda od prodaje nefinancijske imovine ukazuje na pozitivnu praksu prodaje državne imovine koja je najvećim dijelom bila izvan uporabe. </w:t>
      </w:r>
    </w:p>
    <w:p w:rsidR="00E45A78" w:rsidRDefault="00E45A78" w:rsidP="002D7A1F">
      <w:pPr>
        <w:jc w:val="both"/>
      </w:pPr>
      <w:bookmarkStart w:id="6" w:name="_Toc134353538"/>
    </w:p>
    <w:p w:rsidR="00CF13BA" w:rsidRPr="004C15F6" w:rsidRDefault="00681367" w:rsidP="002D7A1F">
      <w:pPr>
        <w:rPr>
          <w:i/>
        </w:rPr>
      </w:pPr>
      <w:r w:rsidRPr="004C15F6">
        <w:rPr>
          <w:i/>
        </w:rPr>
        <w:t>Tablica 6. Prihodi</w:t>
      </w:r>
      <w:r w:rsidR="00CF13BA" w:rsidRPr="004C15F6">
        <w:rPr>
          <w:i/>
        </w:rPr>
        <w:t xml:space="preserve"> od prodaje nefinancijske imovine u </w:t>
      </w:r>
      <w:r w:rsidRPr="004C15F6">
        <w:rPr>
          <w:i/>
        </w:rPr>
        <w:t>201</w:t>
      </w:r>
      <w:r w:rsidR="006D2009" w:rsidRPr="004C15F6">
        <w:rPr>
          <w:i/>
        </w:rPr>
        <w:t>8</w:t>
      </w:r>
      <w:r w:rsidRPr="004C15F6">
        <w:rPr>
          <w:i/>
        </w:rPr>
        <w:t xml:space="preserve">. i </w:t>
      </w:r>
      <w:r w:rsidR="00CF13BA" w:rsidRPr="004C15F6">
        <w:rPr>
          <w:i/>
        </w:rPr>
        <w:t>201</w:t>
      </w:r>
      <w:r w:rsidR="006D2009" w:rsidRPr="004C15F6">
        <w:rPr>
          <w:i/>
        </w:rPr>
        <w:t>9</w:t>
      </w:r>
      <w:r w:rsidR="00CF13BA" w:rsidRPr="004C15F6">
        <w:rPr>
          <w:i/>
        </w:rPr>
        <w:t xml:space="preserve">. </w:t>
      </w:r>
      <w:r w:rsidR="00A52944" w:rsidRPr="004C15F6">
        <w:rPr>
          <w:i/>
        </w:rPr>
        <w:t>g</w:t>
      </w:r>
      <w:r w:rsidR="00CF13BA" w:rsidRPr="004C15F6">
        <w:rPr>
          <w:i/>
        </w:rPr>
        <w:t>odini</w:t>
      </w:r>
      <w:bookmarkEnd w:id="6"/>
    </w:p>
    <w:p w:rsidR="00A52944" w:rsidRDefault="0092324A" w:rsidP="002D7A1F">
      <w:r>
        <w:rPr>
          <w:noProof/>
        </w:rPr>
        <w:drawing>
          <wp:inline distT="0" distB="0" distL="0" distR="0" wp14:anchorId="40022360" wp14:editId="2D13FE0E">
            <wp:extent cx="5448300" cy="2809875"/>
            <wp:effectExtent l="0" t="0" r="0"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8300" cy="2809875"/>
                    </a:xfrm>
                    <a:prstGeom prst="rect">
                      <a:avLst/>
                    </a:prstGeom>
                    <a:noFill/>
                    <a:ln>
                      <a:noFill/>
                    </a:ln>
                  </pic:spPr>
                </pic:pic>
              </a:graphicData>
            </a:graphic>
          </wp:inline>
        </w:drawing>
      </w:r>
    </w:p>
    <w:p w:rsidR="00CD1CE4" w:rsidRPr="00B01602" w:rsidRDefault="00CD1CE4" w:rsidP="002D7A1F">
      <w:pPr>
        <w:rPr>
          <w:b/>
          <w:bCs/>
          <w:color w:val="000000"/>
          <w:sz w:val="28"/>
          <w:szCs w:val="28"/>
        </w:rPr>
      </w:pPr>
      <w:r>
        <w:br w:type="page"/>
      </w:r>
      <w:r w:rsidRPr="00B01602">
        <w:rPr>
          <w:b/>
          <w:bCs/>
          <w:color w:val="000000"/>
          <w:sz w:val="28"/>
          <w:szCs w:val="28"/>
        </w:rPr>
        <w:lastRenderedPageBreak/>
        <w:t>RASHODI DRŽAVNOG PRORAČUNA</w:t>
      </w:r>
    </w:p>
    <w:p w:rsidR="00CD1CE4" w:rsidRPr="00B01602" w:rsidRDefault="00CD1CE4" w:rsidP="002D7A1F">
      <w:pPr>
        <w:rPr>
          <w:b/>
          <w:bCs/>
          <w:color w:val="000000"/>
          <w:sz w:val="28"/>
          <w:szCs w:val="28"/>
        </w:rPr>
      </w:pPr>
    </w:p>
    <w:p w:rsidR="00CD1CE4" w:rsidRPr="00B01602" w:rsidRDefault="00CD1CE4" w:rsidP="002D7A1F">
      <w:pPr>
        <w:rPr>
          <w:b/>
          <w:color w:val="000000"/>
        </w:rPr>
      </w:pPr>
    </w:p>
    <w:p w:rsidR="00CD1CE4" w:rsidRPr="00673F23" w:rsidRDefault="00CD1CE4" w:rsidP="002D7A1F">
      <w:pPr>
        <w:jc w:val="both"/>
      </w:pPr>
      <w:r w:rsidRPr="00673F23">
        <w:t xml:space="preserve">Ukupni rashodi Državnog proračuna Republike Hrvatske za 2019. godinu planirani su u iznosu od 139,0 milijardi kuna, od čega rashodi poslovanja 134,5 milijardi kuna, a rashodi za nabavu nefinancijske imovine 4,5 milijardi kuna. </w:t>
      </w:r>
    </w:p>
    <w:p w:rsidR="00CD1CE4" w:rsidRPr="00CD1CE4" w:rsidRDefault="00CD1CE4" w:rsidP="002D7A1F">
      <w:pPr>
        <w:rPr>
          <w:b/>
        </w:rPr>
      </w:pPr>
    </w:p>
    <w:p w:rsidR="00CD1CE4" w:rsidRPr="00CD1CE4" w:rsidRDefault="00CD1CE4" w:rsidP="002D7A1F">
      <w:pPr>
        <w:rPr>
          <w:i/>
        </w:rPr>
      </w:pPr>
      <w:r w:rsidRPr="00CD1CE4">
        <w:rPr>
          <w:i/>
        </w:rPr>
        <w:t xml:space="preserve">Tablica 7. Kretanje rashoda u 2018. i 2019. godini </w:t>
      </w:r>
    </w:p>
    <w:p w:rsidR="00CD1CE4" w:rsidRPr="00B01602" w:rsidRDefault="0092324A" w:rsidP="002D7A1F">
      <w:pPr>
        <w:rPr>
          <w:color w:val="FF0000"/>
        </w:rPr>
      </w:pPr>
      <w:r>
        <w:rPr>
          <w:noProof/>
        </w:rPr>
        <w:drawing>
          <wp:inline distT="0" distB="0" distL="0" distR="0" wp14:anchorId="7306334D" wp14:editId="4FEB1778">
            <wp:extent cx="5753100" cy="93345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933450"/>
                    </a:xfrm>
                    <a:prstGeom prst="rect">
                      <a:avLst/>
                    </a:prstGeom>
                    <a:noFill/>
                    <a:ln>
                      <a:noFill/>
                    </a:ln>
                  </pic:spPr>
                </pic:pic>
              </a:graphicData>
            </a:graphic>
          </wp:inline>
        </w:drawing>
      </w:r>
    </w:p>
    <w:p w:rsidR="00CD1CE4" w:rsidRPr="00CD1CE4" w:rsidRDefault="00CD1CE4" w:rsidP="002D7A1F">
      <w:pPr>
        <w:jc w:val="both"/>
      </w:pPr>
    </w:p>
    <w:p w:rsidR="00CD1CE4" w:rsidRPr="00CD1CE4" w:rsidRDefault="00CD1CE4" w:rsidP="002D7A1F">
      <w:pPr>
        <w:jc w:val="both"/>
      </w:pPr>
      <w:r w:rsidRPr="00CD1CE4">
        <w:t>Izvršenje ukupnih rashoda državnog proračuna u 2019. godini iznosi 139,9 milijardi kuna što čini 100,6% planiranih rashoda za 2019. godinu. Rashodi poslovanja izvršeni su u iznosu od 135,9 milijardi kuna odnosno 101,0% planiranih rashoda poslovanja, dok su rashodi za nabavu nefinancijske imovine izvršeni u iznosu od 4,0 milijarde kuna odnosno 89,7% plana.</w:t>
      </w:r>
    </w:p>
    <w:p w:rsidR="00CD1CE4" w:rsidRPr="00CD1CE4" w:rsidRDefault="00CD1CE4" w:rsidP="002D7A1F">
      <w:pPr>
        <w:jc w:val="both"/>
      </w:pPr>
    </w:p>
    <w:p w:rsidR="00CD1CE4" w:rsidRDefault="00CD1CE4" w:rsidP="002D7A1F">
      <w:pPr>
        <w:jc w:val="both"/>
        <w:rPr>
          <w:color w:val="000000"/>
        </w:rPr>
      </w:pPr>
      <w:r w:rsidRPr="002F47D7">
        <w:rPr>
          <w:color w:val="000000"/>
        </w:rPr>
        <w:t xml:space="preserve">Ukupni rashodi državnog proračuna u 2019. godini veći su </w:t>
      </w:r>
      <w:r>
        <w:rPr>
          <w:color w:val="000000"/>
        </w:rPr>
        <w:t xml:space="preserve">u </w:t>
      </w:r>
      <w:r w:rsidRPr="002F47D7">
        <w:rPr>
          <w:color w:val="000000"/>
        </w:rPr>
        <w:t>odnosu na 2018. godinu za 10,3 milijarde kuna ili 7,9%.</w:t>
      </w:r>
      <w:r w:rsidRPr="00B01602">
        <w:rPr>
          <w:color w:val="000000"/>
        </w:rPr>
        <w:t xml:space="preserve"> </w:t>
      </w:r>
      <w:r w:rsidRPr="00B65986">
        <w:rPr>
          <w:color w:val="000000"/>
        </w:rPr>
        <w:t>Povećanja su ostvarena na rashodima za mirovine i mirovinska primanja prvenstveno radi usklađivanja mirovina ostvarenih prema općim i posebnim propisima u 2019. godini i prenesenog učinka usklađivanja mirovina iz 2018. godine</w:t>
      </w:r>
      <w:r>
        <w:rPr>
          <w:color w:val="000000"/>
        </w:rPr>
        <w:t>. P</w:t>
      </w:r>
      <w:r w:rsidRPr="00BD2C41">
        <w:rPr>
          <w:color w:val="000000"/>
        </w:rPr>
        <w:t>ovećani</w:t>
      </w:r>
      <w:r>
        <w:rPr>
          <w:color w:val="000000"/>
        </w:rPr>
        <w:t xml:space="preserve"> su </w:t>
      </w:r>
      <w:r w:rsidRPr="00BD2C41">
        <w:rPr>
          <w:color w:val="000000"/>
        </w:rPr>
        <w:t>rashodi za zaposlene radi primjene uvećane osnovice za obračun plaće državnih službenika i namještenika te osnovice za obračun plaće u javnim službama</w:t>
      </w:r>
      <w:r>
        <w:rPr>
          <w:color w:val="000000"/>
        </w:rPr>
        <w:t>. Nadalje</w:t>
      </w:r>
      <w:r w:rsidRPr="008F6FD7">
        <w:rPr>
          <w:color w:val="000000"/>
        </w:rPr>
        <w:t xml:space="preserve">, u </w:t>
      </w:r>
      <w:r>
        <w:rPr>
          <w:color w:val="000000"/>
        </w:rPr>
        <w:t>2019. godini</w:t>
      </w:r>
      <w:r w:rsidRPr="008F6FD7">
        <w:rPr>
          <w:color w:val="000000"/>
        </w:rPr>
        <w:t xml:space="preserve"> rashodi financirani iz fondova Europske unije izvršeni su u iznosu od </w:t>
      </w:r>
      <w:r>
        <w:rPr>
          <w:color w:val="000000"/>
        </w:rPr>
        <w:t>13,3 milijarde kuna što je</w:t>
      </w:r>
      <w:r w:rsidRPr="008F6FD7">
        <w:rPr>
          <w:color w:val="000000"/>
        </w:rPr>
        <w:t xml:space="preserve"> u odnosu na </w:t>
      </w:r>
      <w:r>
        <w:rPr>
          <w:color w:val="000000"/>
        </w:rPr>
        <w:t>2018. godinu</w:t>
      </w:r>
      <w:r w:rsidRPr="008F6FD7">
        <w:rPr>
          <w:color w:val="000000"/>
        </w:rPr>
        <w:t xml:space="preserve"> više za </w:t>
      </w:r>
      <w:r>
        <w:rPr>
          <w:color w:val="000000"/>
        </w:rPr>
        <w:t>3,4 milijarde</w:t>
      </w:r>
      <w:r w:rsidRPr="008F6FD7">
        <w:rPr>
          <w:color w:val="000000"/>
        </w:rPr>
        <w:t xml:space="preserve"> kuna ili </w:t>
      </w:r>
      <w:r>
        <w:rPr>
          <w:color w:val="000000"/>
        </w:rPr>
        <w:t>35,1</w:t>
      </w:r>
      <w:r w:rsidRPr="008F6FD7">
        <w:rPr>
          <w:color w:val="000000"/>
        </w:rPr>
        <w:t xml:space="preserve">%.  </w:t>
      </w:r>
    </w:p>
    <w:p w:rsidR="00CD1CE4" w:rsidRDefault="00CD1CE4" w:rsidP="002D7A1F">
      <w:pPr>
        <w:jc w:val="both"/>
        <w:rPr>
          <w:color w:val="000000"/>
        </w:rPr>
      </w:pPr>
    </w:p>
    <w:p w:rsidR="00CD1CE4" w:rsidRPr="00B01602" w:rsidRDefault="00CD1CE4" w:rsidP="002D7A1F">
      <w:pPr>
        <w:pStyle w:val="Naslov1"/>
        <w:keepNext w:val="0"/>
        <w:rPr>
          <w:sz w:val="24"/>
        </w:rPr>
      </w:pPr>
      <w:r w:rsidRPr="00B01602">
        <w:rPr>
          <w:sz w:val="24"/>
        </w:rPr>
        <w:t>Rashodi po ekonomskoj klasifikaciji</w:t>
      </w:r>
    </w:p>
    <w:p w:rsidR="00CD1CE4" w:rsidRPr="00B01602" w:rsidRDefault="00CD1CE4" w:rsidP="002D7A1F">
      <w:pPr>
        <w:rPr>
          <w:highlight w:val="yellow"/>
        </w:rPr>
      </w:pPr>
    </w:p>
    <w:p w:rsidR="00CD1CE4" w:rsidRPr="00B01602" w:rsidRDefault="00CD1CE4" w:rsidP="002D7A1F">
      <w:pPr>
        <w:pStyle w:val="Podnaslov"/>
        <w:spacing w:after="0" w:line="240" w:lineRule="auto"/>
        <w:rPr>
          <w:rFonts w:ascii="Times New Roman" w:eastAsia="Calibri" w:hAnsi="Times New Roman"/>
          <w:b/>
          <w:i w:val="0"/>
          <w:iCs w:val="0"/>
          <w:color w:val="auto"/>
          <w:spacing w:val="0"/>
          <w:szCs w:val="22"/>
          <w:u w:val="single"/>
        </w:rPr>
      </w:pPr>
      <w:r w:rsidRPr="00B01602">
        <w:rPr>
          <w:rFonts w:ascii="Times New Roman" w:eastAsia="Calibri" w:hAnsi="Times New Roman"/>
          <w:b/>
          <w:i w:val="0"/>
          <w:iCs w:val="0"/>
          <w:color w:val="auto"/>
          <w:spacing w:val="0"/>
          <w:szCs w:val="22"/>
          <w:u w:val="single"/>
        </w:rPr>
        <w:t>Rashodi poslovanja</w:t>
      </w:r>
    </w:p>
    <w:p w:rsidR="00CD1CE4" w:rsidRPr="002F47D7" w:rsidRDefault="00CD1CE4" w:rsidP="002D7A1F">
      <w:pPr>
        <w:jc w:val="both"/>
      </w:pPr>
      <w:r w:rsidRPr="002F47D7">
        <w:t>Rashodi poslovanja u 2019. godini izvršeni su u iznosu od 135,9 milijardi kuna.</w:t>
      </w:r>
      <w:r w:rsidRPr="002F47D7">
        <w:rPr>
          <w:color w:val="FF0000"/>
        </w:rPr>
        <w:t xml:space="preserve"> </w:t>
      </w:r>
      <w:r w:rsidRPr="002F47D7">
        <w:t>U strukturi</w:t>
      </w:r>
      <w:r w:rsidRPr="002F47D7">
        <w:rPr>
          <w:color w:val="FF0000"/>
        </w:rPr>
        <w:t xml:space="preserve"> </w:t>
      </w:r>
      <w:r w:rsidRPr="002F47D7">
        <w:t>najveći udio od 36,3% čine naknade građanima i kućanstvima na temelju osiguranja i druge naknade, a slijede rashodi za zaposlene s udjelom od 21,8% te pomoći dane u inozemstvo i unutar opće države s udjelom od 11,8%.</w:t>
      </w:r>
    </w:p>
    <w:p w:rsidR="00CD1CE4" w:rsidRPr="002F47D7" w:rsidRDefault="00CD1CE4" w:rsidP="002D7A1F">
      <w:pPr>
        <w:jc w:val="both"/>
      </w:pPr>
    </w:p>
    <w:p w:rsidR="00CD1CE4" w:rsidRPr="00CD1CE4" w:rsidRDefault="00CD1CE4" w:rsidP="002D7A1F">
      <w:pPr>
        <w:keepNext/>
        <w:jc w:val="both"/>
        <w:rPr>
          <w:i/>
          <w:sz w:val="18"/>
          <w:highlight w:val="yellow"/>
        </w:rPr>
      </w:pPr>
      <w:r w:rsidRPr="00CD1CE4">
        <w:rPr>
          <w:i/>
        </w:rPr>
        <w:lastRenderedPageBreak/>
        <w:t>Graf</w:t>
      </w:r>
      <w:r>
        <w:rPr>
          <w:i/>
        </w:rPr>
        <w:t>ikon</w:t>
      </w:r>
      <w:r w:rsidRPr="00CD1CE4">
        <w:rPr>
          <w:i/>
        </w:rPr>
        <w:t xml:space="preserve"> </w:t>
      </w:r>
      <w:r w:rsidR="002D7A1F">
        <w:rPr>
          <w:i/>
        </w:rPr>
        <w:t>2</w:t>
      </w:r>
      <w:r w:rsidRPr="00CD1CE4">
        <w:rPr>
          <w:i/>
        </w:rPr>
        <w:t>. Struktura izvršenja rashoda poslovanja 2019. po skupinama rashoda ekonomske klasifikacije</w:t>
      </w:r>
    </w:p>
    <w:p w:rsidR="00CD1CE4" w:rsidRPr="002D7A1F" w:rsidRDefault="0092324A" w:rsidP="002D7A1F">
      <w:pPr>
        <w:keepNext/>
        <w:jc w:val="both"/>
        <w:rPr>
          <w:b/>
          <w:sz w:val="20"/>
        </w:rPr>
      </w:pPr>
      <w:r>
        <w:rPr>
          <w:noProof/>
        </w:rPr>
        <w:drawing>
          <wp:inline distT="0" distB="0" distL="0" distR="0" wp14:anchorId="08F0323C" wp14:editId="01C3E0E5">
            <wp:extent cx="5981700" cy="4391025"/>
            <wp:effectExtent l="0" t="0" r="0" b="0"/>
            <wp:docPr id="9"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D1CE4" w:rsidRPr="002D7A1F" w:rsidRDefault="00CD1CE4" w:rsidP="002D7A1F">
      <w:pPr>
        <w:jc w:val="both"/>
        <w:rPr>
          <w:i/>
        </w:rPr>
      </w:pPr>
      <w:r w:rsidRPr="002D7A1F">
        <w:rPr>
          <w:i/>
        </w:rPr>
        <w:t xml:space="preserve">Tablica </w:t>
      </w:r>
      <w:r w:rsidR="002D7A1F">
        <w:rPr>
          <w:i/>
        </w:rPr>
        <w:t>8</w:t>
      </w:r>
      <w:r w:rsidRPr="002D7A1F">
        <w:rPr>
          <w:i/>
        </w:rPr>
        <w:t>. Rashodi poslovanja u 2018. i 2019. godini</w:t>
      </w:r>
    </w:p>
    <w:p w:rsidR="00CD1CE4" w:rsidRPr="00B01602" w:rsidRDefault="0092324A" w:rsidP="002D7A1F">
      <w:pPr>
        <w:jc w:val="both"/>
        <w:rPr>
          <w:sz w:val="18"/>
        </w:rPr>
      </w:pPr>
      <w:r>
        <w:rPr>
          <w:noProof/>
        </w:rPr>
        <w:drawing>
          <wp:inline distT="0" distB="0" distL="0" distR="0" wp14:anchorId="52977467" wp14:editId="17596AA4">
            <wp:extent cx="5753100" cy="182880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1828800"/>
                    </a:xfrm>
                    <a:prstGeom prst="rect">
                      <a:avLst/>
                    </a:prstGeom>
                    <a:noFill/>
                    <a:ln>
                      <a:noFill/>
                    </a:ln>
                  </pic:spPr>
                </pic:pic>
              </a:graphicData>
            </a:graphic>
          </wp:inline>
        </w:drawing>
      </w:r>
    </w:p>
    <w:p w:rsidR="00CD1CE4" w:rsidRDefault="00CD1CE4" w:rsidP="002D7A1F">
      <w:pPr>
        <w:jc w:val="both"/>
        <w:rPr>
          <w:rStyle w:val="Istaknuto"/>
          <w:b/>
          <w:i w:val="0"/>
        </w:rPr>
      </w:pPr>
    </w:p>
    <w:p w:rsidR="00CD1CE4" w:rsidRPr="005B3216" w:rsidRDefault="00CD1CE4" w:rsidP="002D7A1F">
      <w:pPr>
        <w:jc w:val="both"/>
        <w:rPr>
          <w:rStyle w:val="Istaknuto"/>
          <w:b/>
          <w:i w:val="0"/>
        </w:rPr>
      </w:pPr>
      <w:r w:rsidRPr="005B3216">
        <w:rPr>
          <w:rStyle w:val="Istaknuto"/>
          <w:b/>
          <w:i w:val="0"/>
        </w:rPr>
        <w:t>Rashodi za zaposlene</w:t>
      </w:r>
    </w:p>
    <w:p w:rsidR="00CD1CE4" w:rsidRDefault="00CD1CE4" w:rsidP="002D7A1F">
      <w:pPr>
        <w:jc w:val="both"/>
      </w:pPr>
    </w:p>
    <w:p w:rsidR="00CD1CE4" w:rsidRPr="00A60C43" w:rsidRDefault="00CD1CE4" w:rsidP="002D7A1F">
      <w:pPr>
        <w:jc w:val="both"/>
      </w:pPr>
      <w:r>
        <w:t>Rashodi za zaposlene u 2019</w:t>
      </w:r>
      <w:r w:rsidRPr="00B01602">
        <w:t>. godini izvršeni su u iznosu od 2</w:t>
      </w:r>
      <w:r>
        <w:t>9,6</w:t>
      </w:r>
      <w:r w:rsidRPr="00B01602">
        <w:t xml:space="preserve"> milijard</w:t>
      </w:r>
      <w:r>
        <w:t>i</w:t>
      </w:r>
      <w:r w:rsidRPr="00B01602">
        <w:t xml:space="preserve"> kuna što predstavlja 99,</w:t>
      </w:r>
      <w:r>
        <w:t>9</w:t>
      </w:r>
      <w:r w:rsidRPr="00B01602">
        <w:t>% planiranih rashoda za zaposlene. U odnosu na isto razdoblje</w:t>
      </w:r>
      <w:r>
        <w:t xml:space="preserve"> prethodne godine veći su za 5,3% odnosno 1,5 milijardi</w:t>
      </w:r>
      <w:r w:rsidRPr="00B01602">
        <w:t xml:space="preserve"> kuna, što je prvenstveno </w:t>
      </w:r>
      <w:r w:rsidRPr="00A60C43">
        <w:t>rezultat povećanja osnovice za izračun plaća za državne službenike i namještenike te osnovice za plaće u javnim službama temeljem Dodatka I. Kolektivnom ugovoru za državne službenike i namještenike (Narodne novine, broj 2/19) i Sporazuma o osnovici za izračun plaće u javnim službama (Narodne novine, broj 2/19). Osnovice za plaće uvećane su za 3% od 1. siječnja 2019. godine s primjenom od veljače 2019. godine te za 2% od 1. rujna 2019.</w:t>
      </w:r>
      <w:r>
        <w:t xml:space="preserve"> godine</w:t>
      </w:r>
      <w:r w:rsidRPr="00A60C43">
        <w:t xml:space="preserve"> s </w:t>
      </w:r>
      <w:r>
        <w:t xml:space="preserve">primjenom od </w:t>
      </w:r>
      <w:r w:rsidRPr="00A60C43">
        <w:t>listopad</w:t>
      </w:r>
      <w:r>
        <w:t xml:space="preserve">a </w:t>
      </w:r>
      <w:r w:rsidRPr="00A60C43">
        <w:t>2019.</w:t>
      </w:r>
      <w:r>
        <w:t xml:space="preserve"> godine.</w:t>
      </w:r>
    </w:p>
    <w:p w:rsidR="00CD1CE4" w:rsidRPr="00A60C43" w:rsidRDefault="00CD1CE4" w:rsidP="002D7A1F">
      <w:pPr>
        <w:jc w:val="both"/>
      </w:pPr>
    </w:p>
    <w:p w:rsidR="00CD1CE4" w:rsidRPr="00A60C43" w:rsidRDefault="00CD1CE4" w:rsidP="002D7A1F">
      <w:pPr>
        <w:jc w:val="both"/>
        <w:rPr>
          <w:highlight w:val="yellow"/>
        </w:rPr>
      </w:pPr>
      <w:r w:rsidRPr="00A60C43">
        <w:t>Povećanje rashoda za zaposlene u 2019. godini u odnosu prethodnu godinu, rezultat je i cjelogodišnje primjene:</w:t>
      </w:r>
    </w:p>
    <w:p w:rsidR="00CD1CE4" w:rsidRPr="00A60C43" w:rsidRDefault="00CD1CE4" w:rsidP="002D7A1F">
      <w:pPr>
        <w:numPr>
          <w:ilvl w:val="0"/>
          <w:numId w:val="8"/>
        </w:numPr>
        <w:jc w:val="both"/>
      </w:pPr>
      <w:r w:rsidRPr="00A60C43">
        <w:rPr>
          <w:i/>
        </w:rPr>
        <w:t xml:space="preserve">Kolektivnog ugovora za djelatnost zdravstva i zdravstvenog osiguranja </w:t>
      </w:r>
      <w:r>
        <w:t>(Narodne novine broj 29/</w:t>
      </w:r>
      <w:r w:rsidRPr="00A60C43">
        <w:t>18) koji se primjenjuje od 1. ožujka 2018. godine,</w:t>
      </w:r>
    </w:p>
    <w:p w:rsidR="00CD1CE4" w:rsidRPr="00A60C43" w:rsidRDefault="00CD1CE4" w:rsidP="002D7A1F">
      <w:pPr>
        <w:pStyle w:val="Odlomakpopisa"/>
        <w:numPr>
          <w:ilvl w:val="0"/>
          <w:numId w:val="8"/>
        </w:numPr>
        <w:spacing w:after="0" w:line="240" w:lineRule="auto"/>
        <w:jc w:val="both"/>
        <w:rPr>
          <w:rFonts w:ascii="Times New Roman" w:eastAsia="Times New Roman" w:hAnsi="Times New Roman"/>
          <w:sz w:val="24"/>
          <w:szCs w:val="24"/>
          <w:lang w:eastAsia="hr-HR"/>
        </w:rPr>
      </w:pPr>
      <w:r w:rsidRPr="00A60C43">
        <w:rPr>
          <w:rFonts w:ascii="Times New Roman" w:eastAsia="Times New Roman" w:hAnsi="Times New Roman"/>
          <w:i/>
          <w:sz w:val="24"/>
          <w:szCs w:val="24"/>
          <w:lang w:eastAsia="hr-HR"/>
        </w:rPr>
        <w:t xml:space="preserve">Granskog kolektivnog ugovora za zaposlenike u ustanovama kulture koji se financiraju iz državnog proračuna </w:t>
      </w:r>
      <w:r>
        <w:rPr>
          <w:rFonts w:ascii="Times New Roman" w:eastAsia="Times New Roman" w:hAnsi="Times New Roman"/>
          <w:sz w:val="24"/>
          <w:szCs w:val="24"/>
          <w:lang w:eastAsia="hr-HR"/>
        </w:rPr>
        <w:t>(Narodne novine, broj 46/</w:t>
      </w:r>
      <w:r w:rsidRPr="00A60C43">
        <w:rPr>
          <w:rFonts w:ascii="Times New Roman" w:eastAsia="Times New Roman" w:hAnsi="Times New Roman"/>
          <w:sz w:val="24"/>
          <w:szCs w:val="24"/>
          <w:lang w:eastAsia="hr-HR"/>
        </w:rPr>
        <w:t>18)</w:t>
      </w:r>
      <w:r w:rsidRPr="00A60C43">
        <w:rPr>
          <w:rFonts w:ascii="Times New Roman" w:eastAsia="Times New Roman" w:hAnsi="Times New Roman"/>
          <w:i/>
          <w:sz w:val="24"/>
          <w:szCs w:val="24"/>
          <w:lang w:eastAsia="hr-HR"/>
        </w:rPr>
        <w:t xml:space="preserve"> </w:t>
      </w:r>
      <w:r w:rsidRPr="00A60C43">
        <w:rPr>
          <w:rFonts w:ascii="Times New Roman" w:eastAsia="Times New Roman" w:hAnsi="Times New Roman"/>
          <w:sz w:val="24"/>
          <w:szCs w:val="24"/>
          <w:lang w:eastAsia="hr-HR"/>
        </w:rPr>
        <w:t>koji se primjenjuje od 27. travnja 2018.</w:t>
      </w:r>
      <w:r>
        <w:rPr>
          <w:rFonts w:ascii="Times New Roman" w:eastAsia="Times New Roman" w:hAnsi="Times New Roman"/>
          <w:sz w:val="24"/>
          <w:szCs w:val="24"/>
          <w:lang w:eastAsia="hr-HR"/>
        </w:rPr>
        <w:t xml:space="preserve"> godine</w:t>
      </w:r>
      <w:r w:rsidRPr="00A60C43">
        <w:rPr>
          <w:rFonts w:ascii="Times New Roman" w:eastAsia="Times New Roman" w:hAnsi="Times New Roman"/>
          <w:sz w:val="24"/>
          <w:szCs w:val="24"/>
          <w:lang w:eastAsia="hr-HR"/>
        </w:rPr>
        <w:t>,</w:t>
      </w:r>
    </w:p>
    <w:p w:rsidR="00CD1CE4" w:rsidRPr="00A60C43" w:rsidRDefault="00CD1CE4" w:rsidP="002D7A1F">
      <w:pPr>
        <w:pStyle w:val="Odlomakpopisa"/>
        <w:numPr>
          <w:ilvl w:val="0"/>
          <w:numId w:val="8"/>
        </w:numPr>
        <w:spacing w:after="0" w:line="240" w:lineRule="auto"/>
        <w:jc w:val="both"/>
        <w:rPr>
          <w:rFonts w:ascii="Times New Roman" w:eastAsia="Times New Roman" w:hAnsi="Times New Roman"/>
          <w:sz w:val="24"/>
          <w:szCs w:val="24"/>
          <w:lang w:eastAsia="hr-HR"/>
        </w:rPr>
      </w:pPr>
      <w:r w:rsidRPr="00A60C43">
        <w:rPr>
          <w:rFonts w:ascii="Times New Roman" w:eastAsia="Times New Roman" w:hAnsi="Times New Roman"/>
          <w:i/>
          <w:sz w:val="24"/>
          <w:szCs w:val="24"/>
          <w:lang w:eastAsia="hr-HR"/>
        </w:rPr>
        <w:t xml:space="preserve">Kolektivnog ugovora za zaposlenike u osnovnoškolskim ustanovama </w:t>
      </w:r>
      <w:r>
        <w:rPr>
          <w:rFonts w:ascii="Times New Roman" w:eastAsia="Times New Roman" w:hAnsi="Times New Roman"/>
          <w:sz w:val="24"/>
          <w:szCs w:val="24"/>
          <w:lang w:eastAsia="hr-HR"/>
        </w:rPr>
        <w:t>(Narodne novine,  broj 51/</w:t>
      </w:r>
      <w:r w:rsidRPr="00A60C43">
        <w:rPr>
          <w:rFonts w:ascii="Times New Roman" w:eastAsia="Times New Roman" w:hAnsi="Times New Roman"/>
          <w:sz w:val="24"/>
          <w:szCs w:val="24"/>
          <w:lang w:eastAsia="hr-HR"/>
        </w:rPr>
        <w:t>18) koji se primjenjuje od 1</w:t>
      </w:r>
      <w:r>
        <w:rPr>
          <w:rFonts w:ascii="Times New Roman" w:eastAsia="Times New Roman" w:hAnsi="Times New Roman"/>
          <w:sz w:val="24"/>
          <w:szCs w:val="24"/>
          <w:lang w:eastAsia="hr-HR"/>
        </w:rPr>
        <w:t>. svibnja 2018. godine</w:t>
      </w:r>
      <w:r w:rsidRPr="00A60C43">
        <w:rPr>
          <w:rFonts w:ascii="Times New Roman" w:eastAsia="Times New Roman" w:hAnsi="Times New Roman"/>
          <w:sz w:val="24"/>
          <w:szCs w:val="24"/>
          <w:lang w:eastAsia="hr-HR"/>
        </w:rPr>
        <w:t xml:space="preserve">, </w:t>
      </w:r>
    </w:p>
    <w:p w:rsidR="00CD1CE4" w:rsidRPr="00A60C43" w:rsidRDefault="00CD1CE4" w:rsidP="002D7A1F">
      <w:pPr>
        <w:pStyle w:val="Odlomakpopisa"/>
        <w:numPr>
          <w:ilvl w:val="0"/>
          <w:numId w:val="8"/>
        </w:numPr>
        <w:spacing w:after="0" w:line="240" w:lineRule="auto"/>
        <w:jc w:val="both"/>
        <w:rPr>
          <w:rFonts w:ascii="Times New Roman" w:eastAsia="Times New Roman" w:hAnsi="Times New Roman"/>
          <w:sz w:val="24"/>
          <w:szCs w:val="24"/>
          <w:lang w:eastAsia="hr-HR"/>
        </w:rPr>
      </w:pPr>
      <w:r w:rsidRPr="00A60C43">
        <w:rPr>
          <w:rFonts w:ascii="Times New Roman" w:eastAsia="Times New Roman" w:hAnsi="Times New Roman"/>
          <w:i/>
          <w:sz w:val="24"/>
          <w:szCs w:val="24"/>
          <w:lang w:eastAsia="hr-HR"/>
        </w:rPr>
        <w:t xml:space="preserve">Kolektivnog ugovora za zaposlenike u srednjoškolskim ustanovama </w:t>
      </w:r>
      <w:r>
        <w:rPr>
          <w:rFonts w:ascii="Times New Roman" w:eastAsia="Times New Roman" w:hAnsi="Times New Roman"/>
          <w:sz w:val="24"/>
          <w:szCs w:val="24"/>
          <w:lang w:eastAsia="hr-HR"/>
        </w:rPr>
        <w:t>(Narodne novine, broj 51/</w:t>
      </w:r>
      <w:r w:rsidRPr="00A60C43">
        <w:rPr>
          <w:rFonts w:ascii="Times New Roman" w:eastAsia="Times New Roman" w:hAnsi="Times New Roman"/>
          <w:sz w:val="24"/>
          <w:szCs w:val="24"/>
          <w:lang w:eastAsia="hr-HR"/>
        </w:rPr>
        <w:t xml:space="preserve">18) koji se primjenjuje od 1. svibnja 2018. </w:t>
      </w:r>
      <w:r>
        <w:rPr>
          <w:rFonts w:ascii="Times New Roman" w:eastAsia="Times New Roman" w:hAnsi="Times New Roman"/>
          <w:sz w:val="24"/>
          <w:szCs w:val="24"/>
          <w:lang w:eastAsia="hr-HR"/>
        </w:rPr>
        <w:t xml:space="preserve">godine </w:t>
      </w:r>
      <w:r w:rsidRPr="00A60C43">
        <w:rPr>
          <w:rFonts w:ascii="Times New Roman" w:eastAsia="Times New Roman" w:hAnsi="Times New Roman"/>
          <w:sz w:val="24"/>
          <w:szCs w:val="24"/>
          <w:lang w:eastAsia="hr-HR"/>
        </w:rPr>
        <w:t>i</w:t>
      </w:r>
    </w:p>
    <w:p w:rsidR="00CD1CE4" w:rsidRPr="00A60C43" w:rsidRDefault="00CD1CE4" w:rsidP="002D7A1F">
      <w:pPr>
        <w:pStyle w:val="Odlomakpopisa"/>
        <w:numPr>
          <w:ilvl w:val="0"/>
          <w:numId w:val="8"/>
        </w:numPr>
        <w:spacing w:after="0" w:line="240" w:lineRule="auto"/>
        <w:jc w:val="both"/>
        <w:rPr>
          <w:rFonts w:ascii="Times New Roman" w:eastAsia="Times New Roman" w:hAnsi="Times New Roman"/>
          <w:sz w:val="24"/>
          <w:szCs w:val="24"/>
          <w:lang w:eastAsia="hr-HR"/>
        </w:rPr>
      </w:pPr>
      <w:r w:rsidRPr="00A60C43">
        <w:rPr>
          <w:rFonts w:ascii="Times New Roman" w:eastAsia="Times New Roman" w:hAnsi="Times New Roman"/>
          <w:i/>
          <w:sz w:val="24"/>
          <w:szCs w:val="24"/>
          <w:lang w:eastAsia="hr-HR"/>
        </w:rPr>
        <w:t>Kolektivnog ugovora za djelatnost socijalne skrbi</w:t>
      </w:r>
      <w:r>
        <w:rPr>
          <w:rFonts w:ascii="Times New Roman" w:eastAsia="Times New Roman" w:hAnsi="Times New Roman"/>
          <w:sz w:val="24"/>
          <w:szCs w:val="24"/>
          <w:lang w:eastAsia="hr-HR"/>
        </w:rPr>
        <w:t xml:space="preserve"> (Narodne novine, broj 61/</w:t>
      </w:r>
      <w:r w:rsidRPr="00A60C43">
        <w:rPr>
          <w:rFonts w:ascii="Times New Roman" w:eastAsia="Times New Roman" w:hAnsi="Times New Roman"/>
          <w:sz w:val="24"/>
          <w:szCs w:val="24"/>
          <w:lang w:eastAsia="hr-HR"/>
        </w:rPr>
        <w:t>18) koji se primjenjuje od 1. lipnja 2018.</w:t>
      </w:r>
      <w:r>
        <w:rPr>
          <w:rFonts w:ascii="Times New Roman" w:eastAsia="Times New Roman" w:hAnsi="Times New Roman"/>
          <w:sz w:val="24"/>
          <w:szCs w:val="24"/>
          <w:lang w:eastAsia="hr-HR"/>
        </w:rPr>
        <w:t xml:space="preserve"> godine</w:t>
      </w:r>
      <w:r w:rsidRPr="00A60C43">
        <w:rPr>
          <w:rFonts w:ascii="Times New Roman" w:eastAsia="Times New Roman" w:hAnsi="Times New Roman"/>
          <w:sz w:val="24"/>
          <w:szCs w:val="24"/>
          <w:lang w:eastAsia="hr-HR"/>
        </w:rPr>
        <w:t xml:space="preserve"> te sljedećih uredbi:</w:t>
      </w:r>
    </w:p>
    <w:p w:rsidR="00CD1CE4" w:rsidRPr="00A60C43" w:rsidRDefault="00CD1CE4" w:rsidP="002D7A1F">
      <w:pPr>
        <w:pStyle w:val="Odlomakpopisa"/>
        <w:numPr>
          <w:ilvl w:val="0"/>
          <w:numId w:val="8"/>
        </w:numPr>
        <w:spacing w:after="0" w:line="240" w:lineRule="auto"/>
        <w:jc w:val="both"/>
        <w:rPr>
          <w:rFonts w:ascii="Times New Roman" w:eastAsia="Times New Roman" w:hAnsi="Times New Roman"/>
          <w:sz w:val="24"/>
          <w:szCs w:val="24"/>
          <w:lang w:eastAsia="hr-HR"/>
        </w:rPr>
      </w:pPr>
      <w:r w:rsidRPr="00DE1C5C">
        <w:rPr>
          <w:rFonts w:ascii="Times New Roman" w:eastAsia="Times New Roman" w:hAnsi="Times New Roman"/>
          <w:i/>
          <w:sz w:val="24"/>
          <w:szCs w:val="24"/>
          <w:lang w:eastAsia="hr-HR"/>
        </w:rPr>
        <w:t>Uredbe o izmjenama Uredbe o plaćama policijskih služ</w:t>
      </w:r>
      <w:r w:rsidRPr="00A60C43">
        <w:rPr>
          <w:rFonts w:ascii="Times New Roman" w:eastAsia="Times New Roman" w:hAnsi="Times New Roman"/>
          <w:sz w:val="24"/>
          <w:szCs w:val="24"/>
          <w:lang w:eastAsia="hr-HR"/>
        </w:rPr>
        <w:t>benika koja je na snazi od 21.</w:t>
      </w:r>
    </w:p>
    <w:p w:rsidR="00CD1CE4" w:rsidRPr="00A60C43" w:rsidRDefault="00CD1CE4" w:rsidP="002D7A1F">
      <w:pPr>
        <w:pStyle w:val="Odlomakpopisa"/>
        <w:spacing w:after="0" w:line="240" w:lineRule="auto"/>
        <w:jc w:val="both"/>
        <w:rPr>
          <w:rFonts w:ascii="Times New Roman" w:eastAsia="Times New Roman" w:hAnsi="Times New Roman"/>
          <w:sz w:val="24"/>
          <w:szCs w:val="24"/>
          <w:lang w:eastAsia="hr-HR"/>
        </w:rPr>
      </w:pPr>
      <w:r w:rsidRPr="00A60C43">
        <w:rPr>
          <w:rFonts w:ascii="Times New Roman" w:eastAsia="Times New Roman" w:hAnsi="Times New Roman"/>
          <w:sz w:val="24"/>
          <w:szCs w:val="24"/>
          <w:lang w:eastAsia="hr-HR"/>
        </w:rPr>
        <w:t xml:space="preserve">srpnja 2018. </w:t>
      </w:r>
      <w:r>
        <w:rPr>
          <w:rFonts w:ascii="Times New Roman" w:eastAsia="Times New Roman" w:hAnsi="Times New Roman"/>
          <w:sz w:val="24"/>
          <w:szCs w:val="24"/>
          <w:lang w:eastAsia="hr-HR"/>
        </w:rPr>
        <w:t xml:space="preserve">godine </w:t>
      </w:r>
      <w:r w:rsidRPr="00A60C43">
        <w:rPr>
          <w:rFonts w:ascii="Times New Roman" w:eastAsia="Times New Roman" w:hAnsi="Times New Roman"/>
          <w:sz w:val="24"/>
          <w:szCs w:val="24"/>
          <w:lang w:eastAsia="hr-HR"/>
        </w:rPr>
        <w:t>(Narodne novine, broj 66/18),</w:t>
      </w:r>
    </w:p>
    <w:p w:rsidR="00CD1CE4" w:rsidRPr="00DE1C5C" w:rsidRDefault="00CD1CE4" w:rsidP="002D7A1F">
      <w:pPr>
        <w:pStyle w:val="Odlomakpopisa"/>
        <w:numPr>
          <w:ilvl w:val="0"/>
          <w:numId w:val="8"/>
        </w:numPr>
        <w:spacing w:after="0" w:line="240" w:lineRule="auto"/>
        <w:jc w:val="both"/>
        <w:rPr>
          <w:rFonts w:ascii="Times New Roman" w:eastAsia="Times New Roman" w:hAnsi="Times New Roman"/>
          <w:i/>
          <w:sz w:val="24"/>
          <w:szCs w:val="24"/>
          <w:lang w:eastAsia="hr-HR"/>
        </w:rPr>
      </w:pPr>
      <w:r w:rsidRPr="00DE1C5C">
        <w:rPr>
          <w:rFonts w:ascii="Times New Roman" w:eastAsia="Times New Roman" w:hAnsi="Times New Roman"/>
          <w:i/>
          <w:sz w:val="24"/>
          <w:szCs w:val="24"/>
          <w:lang w:eastAsia="hr-HR"/>
        </w:rPr>
        <w:t>Uredbe o izmjenama i dopunama Uredbe o plaćama, dodacima i naknadama u službi</w:t>
      </w:r>
    </w:p>
    <w:p w:rsidR="00CD1CE4" w:rsidRPr="00A60C43" w:rsidRDefault="00CD1CE4" w:rsidP="002D7A1F">
      <w:pPr>
        <w:pStyle w:val="Odlomakpopisa"/>
        <w:spacing w:after="0" w:line="240" w:lineRule="auto"/>
        <w:jc w:val="both"/>
        <w:rPr>
          <w:rFonts w:ascii="Times New Roman" w:eastAsia="Times New Roman" w:hAnsi="Times New Roman"/>
          <w:sz w:val="24"/>
          <w:szCs w:val="24"/>
          <w:lang w:eastAsia="hr-HR"/>
        </w:rPr>
      </w:pPr>
      <w:r w:rsidRPr="00DE1C5C">
        <w:rPr>
          <w:rFonts w:ascii="Times New Roman" w:eastAsia="Times New Roman" w:hAnsi="Times New Roman"/>
          <w:i/>
          <w:sz w:val="24"/>
          <w:szCs w:val="24"/>
          <w:lang w:eastAsia="hr-HR"/>
        </w:rPr>
        <w:t xml:space="preserve">vanjskih poslova </w:t>
      </w:r>
      <w:r w:rsidRPr="00A60C43">
        <w:rPr>
          <w:rFonts w:ascii="Times New Roman" w:eastAsia="Times New Roman" w:hAnsi="Times New Roman"/>
          <w:sz w:val="24"/>
          <w:szCs w:val="24"/>
          <w:lang w:eastAsia="hr-HR"/>
        </w:rPr>
        <w:t>koja je na snazi od 1. lipnja 2018.</w:t>
      </w:r>
      <w:r>
        <w:rPr>
          <w:rFonts w:ascii="Times New Roman" w:eastAsia="Times New Roman" w:hAnsi="Times New Roman"/>
          <w:sz w:val="24"/>
          <w:szCs w:val="24"/>
          <w:lang w:eastAsia="hr-HR"/>
        </w:rPr>
        <w:t xml:space="preserve"> godine te </w:t>
      </w:r>
      <w:r w:rsidRPr="00A60C43">
        <w:rPr>
          <w:rFonts w:ascii="Times New Roman" w:eastAsia="Times New Roman" w:hAnsi="Times New Roman"/>
          <w:sz w:val="24"/>
          <w:szCs w:val="24"/>
          <w:lang w:eastAsia="hr-HR"/>
        </w:rPr>
        <w:t>1. ožujka 2019.</w:t>
      </w:r>
      <w:r>
        <w:rPr>
          <w:rFonts w:ascii="Times New Roman" w:eastAsia="Times New Roman" w:hAnsi="Times New Roman"/>
          <w:sz w:val="24"/>
          <w:szCs w:val="24"/>
          <w:lang w:eastAsia="hr-HR"/>
        </w:rPr>
        <w:t xml:space="preserve"> godine</w:t>
      </w:r>
      <w:r w:rsidRPr="00A60C43">
        <w:rPr>
          <w:rFonts w:ascii="Times New Roman" w:eastAsia="Times New Roman" w:hAnsi="Times New Roman"/>
          <w:sz w:val="24"/>
          <w:szCs w:val="24"/>
          <w:lang w:eastAsia="hr-HR"/>
        </w:rPr>
        <w:t xml:space="preserve"> (Narodne novine, broj 48/18 i 15/19) i</w:t>
      </w:r>
    </w:p>
    <w:p w:rsidR="00CD1CE4" w:rsidRPr="00F82B52" w:rsidRDefault="00CD1CE4" w:rsidP="002D7A1F">
      <w:pPr>
        <w:pStyle w:val="Odlomakpopisa"/>
        <w:numPr>
          <w:ilvl w:val="0"/>
          <w:numId w:val="8"/>
        </w:numPr>
        <w:spacing w:after="0" w:line="240" w:lineRule="auto"/>
        <w:jc w:val="both"/>
        <w:rPr>
          <w:rFonts w:ascii="Times New Roman" w:eastAsia="Times New Roman" w:hAnsi="Times New Roman"/>
          <w:sz w:val="24"/>
          <w:szCs w:val="24"/>
          <w:lang w:eastAsia="hr-HR"/>
        </w:rPr>
      </w:pPr>
      <w:r w:rsidRPr="00DE1C5C">
        <w:rPr>
          <w:rFonts w:ascii="Times New Roman" w:eastAsia="Times New Roman" w:hAnsi="Times New Roman"/>
          <w:i/>
          <w:sz w:val="24"/>
          <w:szCs w:val="24"/>
          <w:lang w:eastAsia="hr-HR"/>
        </w:rPr>
        <w:t>Uredbe o izmjeni Uredbe o nazivima radnih mjesta i koeficijentima složenosti poslova u javnim službama</w:t>
      </w:r>
      <w:r w:rsidRPr="00A60C43">
        <w:rPr>
          <w:rFonts w:ascii="Times New Roman" w:eastAsia="Times New Roman" w:hAnsi="Times New Roman"/>
          <w:sz w:val="24"/>
          <w:szCs w:val="24"/>
          <w:lang w:eastAsia="hr-HR"/>
        </w:rPr>
        <w:t xml:space="preserve"> koja je na snazi od 5. srpnja 2018.</w:t>
      </w:r>
      <w:r>
        <w:rPr>
          <w:rFonts w:ascii="Times New Roman" w:eastAsia="Times New Roman" w:hAnsi="Times New Roman"/>
          <w:sz w:val="24"/>
          <w:szCs w:val="24"/>
          <w:lang w:eastAsia="hr-HR"/>
        </w:rPr>
        <w:t xml:space="preserve"> godine</w:t>
      </w:r>
      <w:r w:rsidRPr="00A60C43">
        <w:rPr>
          <w:rFonts w:ascii="Times New Roman" w:eastAsia="Times New Roman" w:hAnsi="Times New Roman"/>
          <w:sz w:val="24"/>
          <w:szCs w:val="24"/>
          <w:lang w:eastAsia="hr-HR"/>
        </w:rPr>
        <w:t>, a kojim su povećani koeficijenti u ustanovama socijalne skrbi (Narodne novine, broj 57/18).</w:t>
      </w:r>
    </w:p>
    <w:p w:rsidR="00CD1CE4" w:rsidRPr="00673F23" w:rsidRDefault="00CD1CE4" w:rsidP="002D7A1F">
      <w:pPr>
        <w:jc w:val="both"/>
      </w:pPr>
      <w:r w:rsidRPr="00673F23">
        <w:t>Rashodi za zaposlene u 2019. godini financirani iz fondova Europske unije izvršeni su u iznosu od 369,1 milijuna kuna što je u odnosu na isto razdoblje prethodne godine povećanje za 93,4 milijuna kuna.</w:t>
      </w:r>
    </w:p>
    <w:p w:rsidR="00CD1CE4" w:rsidRDefault="00CD1CE4" w:rsidP="002D7A1F">
      <w:pPr>
        <w:pStyle w:val="Odlomakpopisa"/>
        <w:spacing w:after="0" w:line="240" w:lineRule="auto"/>
        <w:jc w:val="both"/>
        <w:rPr>
          <w:rFonts w:ascii="Times New Roman" w:eastAsia="Times New Roman" w:hAnsi="Times New Roman"/>
          <w:sz w:val="24"/>
          <w:szCs w:val="24"/>
          <w:highlight w:val="yellow"/>
          <w:lang w:eastAsia="hr-HR"/>
        </w:rPr>
      </w:pPr>
    </w:p>
    <w:p w:rsidR="00CD1CE4" w:rsidRPr="00673F23" w:rsidRDefault="00CD1CE4" w:rsidP="002D7A1F">
      <w:pPr>
        <w:jc w:val="both"/>
        <w:rPr>
          <w:b/>
        </w:rPr>
      </w:pPr>
      <w:r w:rsidRPr="00673F23">
        <w:rPr>
          <w:b/>
        </w:rPr>
        <w:t xml:space="preserve">Materijalni rashodi </w:t>
      </w:r>
    </w:p>
    <w:p w:rsidR="00CD1CE4" w:rsidRDefault="00CD1CE4" w:rsidP="002D7A1F">
      <w:pPr>
        <w:jc w:val="both"/>
      </w:pPr>
    </w:p>
    <w:p w:rsidR="00CD1CE4" w:rsidRDefault="00CD1CE4" w:rsidP="002D7A1F">
      <w:pPr>
        <w:jc w:val="both"/>
      </w:pPr>
      <w:r>
        <w:t xml:space="preserve">Materijalni rashodi izvršeni su u iznosu od 14,7 milijardi kuna što predstavlja 101,0% planiranih sredstava. U odnosu na izvršenje 2018. veći su za 11,9% odnosno 1,6 milijardi kuna. Povećanje izvršenja rashoda na ovoj skupini rashoda u 2019. godini rezultat je </w:t>
      </w:r>
      <w:r w:rsidRPr="00B644A9">
        <w:t xml:space="preserve">povećanog izvršenja </w:t>
      </w:r>
      <w:r>
        <w:t>materijalnih</w:t>
      </w:r>
      <w:r w:rsidRPr="00B644A9">
        <w:t xml:space="preserve"> rashoda od strane bolničkih zdravstvenih ustanova u vlasništvu Republike Hrvatske </w:t>
      </w:r>
      <w:r>
        <w:t>u iznosu od 712,9 milijuna kuna te metodološke promjene u praćenju programskog financiranja javnih visokih učilišta i javnih znanstvenih instituta (u 2019. godini rashodi za programsko financiranje</w:t>
      </w:r>
      <w:r w:rsidRPr="00051961">
        <w:t xml:space="preserve"> javnih visokih učilišta i javnih znanstvenih instituta</w:t>
      </w:r>
      <w:r>
        <w:t xml:space="preserve"> su evidentirani u okviru materijalnih rashoda, dok su u 2018. godini evidentirani u okviru skupine rashoda 37 Naknade građanima i kućanstvima na temelju osiguranja i druge naknade). </w:t>
      </w:r>
    </w:p>
    <w:p w:rsidR="00CD1CE4" w:rsidRDefault="00CD1CE4" w:rsidP="002D7A1F">
      <w:pPr>
        <w:jc w:val="both"/>
      </w:pPr>
    </w:p>
    <w:p w:rsidR="00CD1CE4" w:rsidRDefault="00CD1CE4" w:rsidP="002D7A1F">
      <w:pPr>
        <w:jc w:val="both"/>
      </w:pPr>
      <w:r>
        <w:t xml:space="preserve">U strukturi materijalnih rashoda </w:t>
      </w:r>
      <w:r w:rsidRPr="00CE3607">
        <w:rPr>
          <w:i/>
        </w:rPr>
        <w:t>Naknade troškova zaposlenima</w:t>
      </w:r>
      <w:r>
        <w:t xml:space="preserve"> izvršene su u iznosu od 1,5 milijardi kuna što je povećanje u iznosu od 114,5 milijuna kuna odnosno 8,4% u odnosu na isto razdoblje prethodne godine na što je, između ostalog, utjecalo povećanje iznosa dnevnica za službena putovanja u zemlji. </w:t>
      </w:r>
    </w:p>
    <w:p w:rsidR="00CD1CE4" w:rsidRDefault="00CD1CE4" w:rsidP="002D7A1F">
      <w:pPr>
        <w:jc w:val="both"/>
      </w:pPr>
    </w:p>
    <w:p w:rsidR="00CD1CE4" w:rsidRPr="00CE3607" w:rsidRDefault="00CD1CE4" w:rsidP="002D7A1F">
      <w:pPr>
        <w:jc w:val="both"/>
      </w:pPr>
      <w:r w:rsidRPr="00CE3607">
        <w:rPr>
          <w:i/>
        </w:rPr>
        <w:t>Rashodi za materijal i energiju</w:t>
      </w:r>
      <w:r w:rsidRPr="00CE3607">
        <w:t xml:space="preserve"> ostvareni su u iznosu 5,6 milijardi kuna što predstavlja povećanje u iznosu od 740,3 milijuna kuna u odnosu na prethodnu godinu ili 15,1%. U okviru ovi</w:t>
      </w:r>
      <w:r>
        <w:t>h rashoda iznos od 3,1 milijardu</w:t>
      </w:r>
      <w:r w:rsidRPr="00CE3607">
        <w:t xml:space="preserve"> kuna odnosi se na rashode za lijekove te</w:t>
      </w:r>
      <w:r>
        <w:t xml:space="preserve"> pomoćni i sanitetski materijal čije je izvršenje uvećano za 610,9 milijuna kuna u odnosu na prethodnu godinu.</w:t>
      </w:r>
    </w:p>
    <w:p w:rsidR="00CD1CE4" w:rsidRDefault="00CD1CE4" w:rsidP="002D7A1F">
      <w:pPr>
        <w:jc w:val="both"/>
      </w:pPr>
    </w:p>
    <w:p w:rsidR="00CD1CE4" w:rsidRDefault="00CD1CE4" w:rsidP="002D7A1F">
      <w:pPr>
        <w:jc w:val="both"/>
        <w:rPr>
          <w:color w:val="FF0000"/>
        </w:rPr>
      </w:pPr>
      <w:r w:rsidRPr="00CE3607">
        <w:rPr>
          <w:i/>
        </w:rPr>
        <w:lastRenderedPageBreak/>
        <w:t>Rashodi za usluge</w:t>
      </w:r>
      <w:r w:rsidRPr="00CE3607">
        <w:t xml:space="preserve"> ostvareni su u iznosu od 6,</w:t>
      </w:r>
      <w:proofErr w:type="spellStart"/>
      <w:r w:rsidRPr="00CE3607">
        <w:t>6</w:t>
      </w:r>
      <w:proofErr w:type="spellEnd"/>
      <w:r w:rsidRPr="00CE3607">
        <w:t xml:space="preserve"> milijardi kuna što predstavlja 95,3% planiranih rashoda za usluge u 2019. godini. U odnosu na izvršenje 2018. </w:t>
      </w:r>
      <w:r>
        <w:t xml:space="preserve">godine </w:t>
      </w:r>
      <w:r w:rsidRPr="00CE3607">
        <w:t xml:space="preserve">veći su za 13,1% odnosno 766,9 </w:t>
      </w:r>
      <w:r w:rsidRPr="00C02D00">
        <w:t>milijuna kuna.</w:t>
      </w:r>
      <w:r>
        <w:t xml:space="preserve"> Najveće povećanje evidentirano je na uslugama tekućeg i investicijskog održavanja, intelektualnim i osobnim uslugama te ostalim uslugama.</w:t>
      </w:r>
    </w:p>
    <w:p w:rsidR="00CD1CE4" w:rsidRPr="002D7A1F" w:rsidRDefault="00CD1CE4" w:rsidP="002D7A1F">
      <w:pPr>
        <w:jc w:val="both"/>
      </w:pPr>
    </w:p>
    <w:p w:rsidR="00CD1CE4" w:rsidRPr="002D7A1F" w:rsidRDefault="00CD1CE4" w:rsidP="002D7A1F">
      <w:pPr>
        <w:jc w:val="both"/>
      </w:pPr>
      <w:r w:rsidRPr="002D7A1F">
        <w:rPr>
          <w:i/>
        </w:rPr>
        <w:t>Ostali nespomenuti rashodi poslovanja</w:t>
      </w:r>
      <w:r w:rsidRPr="002D7A1F">
        <w:t xml:space="preserve"> izvršeni u iznosu od 846,0 milijuna kuna ili 98,4% planiranih rashoda na ovoj poziciji, a u odnosu na prethodnu godinu umanjeni su za 74,5 milijuna kuna.</w:t>
      </w:r>
    </w:p>
    <w:p w:rsidR="00CD1CE4" w:rsidRPr="002D7A1F" w:rsidRDefault="00CD1CE4" w:rsidP="002D7A1F">
      <w:pPr>
        <w:jc w:val="both"/>
      </w:pPr>
    </w:p>
    <w:p w:rsidR="00CD1CE4" w:rsidRDefault="00CD1CE4" w:rsidP="002D7A1F">
      <w:pPr>
        <w:jc w:val="both"/>
      </w:pPr>
      <w:r w:rsidRPr="002D6D0C">
        <w:t>Od ukupno izvršenih materijalnih rashoda u 2019. godini, iz fondova Europske unije financirano je 801,5 milijuna kuna što je 245,8 milijuna kuna više u odnosu na izvršenje prethodne godine ili 44,2%.</w:t>
      </w:r>
      <w:r>
        <w:t xml:space="preserve"> </w:t>
      </w:r>
    </w:p>
    <w:p w:rsidR="00CD1CE4" w:rsidRPr="002B4320" w:rsidRDefault="00CD1CE4" w:rsidP="002D7A1F">
      <w:pPr>
        <w:jc w:val="both"/>
        <w:rPr>
          <w:highlight w:val="yellow"/>
        </w:rPr>
      </w:pPr>
    </w:p>
    <w:p w:rsidR="00CD1CE4" w:rsidRPr="005B3216" w:rsidRDefault="00CD1CE4" w:rsidP="002D7A1F">
      <w:pPr>
        <w:jc w:val="both"/>
        <w:rPr>
          <w:b/>
        </w:rPr>
      </w:pPr>
      <w:r w:rsidRPr="005B3216">
        <w:rPr>
          <w:b/>
        </w:rPr>
        <w:t xml:space="preserve">Financijski rashodi </w:t>
      </w:r>
    </w:p>
    <w:p w:rsidR="00CD1CE4" w:rsidRPr="00AA151A" w:rsidRDefault="00CD1CE4" w:rsidP="002D7A1F">
      <w:pPr>
        <w:jc w:val="both"/>
        <w:rPr>
          <w:b/>
          <w:i/>
        </w:rPr>
      </w:pPr>
    </w:p>
    <w:p w:rsidR="00CD1CE4" w:rsidRDefault="00CD1CE4" w:rsidP="002D7A1F">
      <w:pPr>
        <w:jc w:val="both"/>
      </w:pPr>
      <w:r>
        <w:t xml:space="preserve">Financijski rashodi u 2019. godini izvršeni su u iznosu od 10,9 milijardi kuna što predstavlja 118,9% planiranih rashoda. </w:t>
      </w:r>
    </w:p>
    <w:p w:rsidR="00CD1CE4" w:rsidRDefault="00CD1CE4" w:rsidP="002D7A1F">
      <w:pPr>
        <w:jc w:val="both"/>
      </w:pPr>
    </w:p>
    <w:p w:rsidR="00CD1CE4" w:rsidRDefault="00CD1CE4" w:rsidP="002D7A1F">
      <w:pPr>
        <w:jc w:val="both"/>
      </w:pPr>
      <w:r>
        <w:t>Najveći udio u financijskim rashodima od 80,5% čine rashodi za kamate koje su u 2019. godini izvršeni u iznosu od 8,</w:t>
      </w:r>
      <w:proofErr w:type="spellStart"/>
      <w:r>
        <w:t>8</w:t>
      </w:r>
      <w:proofErr w:type="spellEnd"/>
      <w:r>
        <w:t xml:space="preserve"> milijardi kuna što je za 50,1 milijun kuna manje u odnosu na prethodnu godinu. Od ukupnog iznosa rashoda za kamate, rashodi za kamate na izdane vrijednosne papire izvršeni su u iznosu od 8,1 milijardu kuna, a rashodi za kamate na primljene kredite i zajmove izvršene su u iznosu od 624,3 milijuna kuna. </w:t>
      </w:r>
    </w:p>
    <w:p w:rsidR="00CD1CE4" w:rsidRDefault="00CD1CE4" w:rsidP="002D7A1F">
      <w:pPr>
        <w:jc w:val="both"/>
      </w:pPr>
    </w:p>
    <w:p w:rsidR="00CD1CE4" w:rsidRDefault="00CD1CE4" w:rsidP="002D7A1F">
      <w:pPr>
        <w:jc w:val="both"/>
        <w:rPr>
          <w:highlight w:val="yellow"/>
        </w:rPr>
      </w:pPr>
      <w:r>
        <w:t>U ukupnom iznosu izvršenih financijskih rashoda u 2019. godini uključene su i negativne tečajne razlike nastale uslijed primjene valutne klauzule na obveznici izdanoj u studenom 2009. godine u iznosu od 1,5 milijardi USD, a iskupljenoj u studenom 2019. godine.</w:t>
      </w:r>
      <w:r>
        <w:rPr>
          <w:highlight w:val="yellow"/>
        </w:rPr>
        <w:t xml:space="preserve"> </w:t>
      </w:r>
    </w:p>
    <w:p w:rsidR="00CD1CE4" w:rsidRPr="002B4320" w:rsidRDefault="00CD1CE4" w:rsidP="002D7A1F">
      <w:pPr>
        <w:jc w:val="both"/>
        <w:rPr>
          <w:highlight w:val="yellow"/>
        </w:rPr>
      </w:pPr>
    </w:p>
    <w:p w:rsidR="00CD1CE4" w:rsidRDefault="00CD1CE4" w:rsidP="002D7A1F">
      <w:pPr>
        <w:jc w:val="both"/>
        <w:rPr>
          <w:b/>
        </w:rPr>
      </w:pPr>
      <w:r w:rsidRPr="005B3216">
        <w:rPr>
          <w:b/>
        </w:rPr>
        <w:t>Subvencije</w:t>
      </w:r>
    </w:p>
    <w:p w:rsidR="00CD1CE4" w:rsidRPr="005B3216" w:rsidRDefault="00CD1CE4" w:rsidP="002D7A1F">
      <w:pPr>
        <w:jc w:val="both"/>
        <w:rPr>
          <w:b/>
        </w:rPr>
      </w:pPr>
    </w:p>
    <w:p w:rsidR="00CD1CE4" w:rsidRDefault="00CD1CE4" w:rsidP="002D7A1F">
      <w:pPr>
        <w:jc w:val="both"/>
      </w:pPr>
      <w:r w:rsidRPr="005B3216">
        <w:t>Rashodi za subvencije izvršeni su u iznosu 7,2 milijarde kuna što predstavlja 100,5% plana. U odnosu na 2018. godinu veći su za 5</w:t>
      </w:r>
      <w:r>
        <w:t>57,8 milijuna kuna odnosno 8,4%.</w:t>
      </w:r>
    </w:p>
    <w:p w:rsidR="00CD1CE4" w:rsidRDefault="00CD1CE4" w:rsidP="002D7A1F">
      <w:pPr>
        <w:jc w:val="both"/>
      </w:pPr>
    </w:p>
    <w:p w:rsidR="00CD1CE4" w:rsidRDefault="00CD1CE4" w:rsidP="002D7A1F">
      <w:pPr>
        <w:jc w:val="both"/>
      </w:pPr>
      <w:r w:rsidRPr="00AC142F">
        <w:t xml:space="preserve">Najznačajniji iznos od 4,0 milijarde kuna odnosi se na izvršenje </w:t>
      </w:r>
      <w:r w:rsidRPr="00AC142F">
        <w:rPr>
          <w:b/>
        </w:rPr>
        <w:t>rashoda za subvencije u poljoprivredi</w:t>
      </w:r>
      <w:r w:rsidRPr="00AC142F">
        <w:t xml:space="preserve"> </w:t>
      </w:r>
      <w:r>
        <w:t xml:space="preserve">i to za </w:t>
      </w:r>
      <w:r w:rsidRPr="003B3D57">
        <w:t>izravna plaćanja u poljoprivredi i mjere uređenja tržišta poljoprivrednih proizvoda</w:t>
      </w:r>
      <w:r>
        <w:t xml:space="preserve"> te za </w:t>
      </w:r>
      <w:r w:rsidRPr="003B3D57">
        <w:t>mjere ruralnog razvoja</w:t>
      </w:r>
      <w:r>
        <w:t>, od čega:</w:t>
      </w:r>
    </w:p>
    <w:p w:rsidR="00CD1CE4" w:rsidRDefault="00CD1CE4" w:rsidP="002D7A1F">
      <w:pPr>
        <w:numPr>
          <w:ilvl w:val="0"/>
          <w:numId w:val="12"/>
        </w:numPr>
        <w:jc w:val="both"/>
      </w:pPr>
      <w:r w:rsidRPr="008C5E52">
        <w:rPr>
          <w:i/>
        </w:rPr>
        <w:t>za izravna plaćanja u poljoprivredi i mjere uređenja tržišta poljoprivrednih proizvoda</w:t>
      </w:r>
      <w:r w:rsidRPr="00AC142F">
        <w:t xml:space="preserve"> utrošeno</w:t>
      </w:r>
      <w:r>
        <w:t xml:space="preserve"> je</w:t>
      </w:r>
      <w:r w:rsidRPr="00AC142F">
        <w:t xml:space="preserve"> 3,1 milijarda kuna,</w:t>
      </w:r>
      <w:r>
        <w:t xml:space="preserve"> što je za 133,4 milijuna kuna više u odnosu na prethodnu godinu. Od ukupnog izvršenog iznosa</w:t>
      </w:r>
      <w:r w:rsidRPr="00AC3666">
        <w:t xml:space="preserve"> </w:t>
      </w:r>
      <w:r w:rsidRPr="00AC142F">
        <w:t>za izravna plaćanja u poljoprivredi i mjere uređenja tržišta poljoprivrednih proizvoda</w:t>
      </w:r>
      <w:r>
        <w:t xml:space="preserve">, </w:t>
      </w:r>
      <w:r w:rsidRPr="00AC142F">
        <w:t>2,3 milijarde kuna izvršeno</w:t>
      </w:r>
      <w:r>
        <w:t xml:space="preserve"> je </w:t>
      </w:r>
      <w:r w:rsidRPr="00AC142F">
        <w:t>iz sredstava Europske unije</w:t>
      </w:r>
      <w:r>
        <w:t xml:space="preserve"> što je povećanje za </w:t>
      </w:r>
      <w:r w:rsidRPr="00860818">
        <w:t>320,6 milijuna kuna</w:t>
      </w:r>
      <w:r>
        <w:t xml:space="preserve"> u odnosu na prethodnu godinu. </w:t>
      </w:r>
    </w:p>
    <w:p w:rsidR="00CD1CE4" w:rsidRPr="00905AFF" w:rsidRDefault="00CD1CE4" w:rsidP="002D7A1F">
      <w:pPr>
        <w:numPr>
          <w:ilvl w:val="0"/>
          <w:numId w:val="12"/>
        </w:numPr>
        <w:jc w:val="both"/>
      </w:pPr>
      <w:r w:rsidRPr="00905AFF">
        <w:rPr>
          <w:i/>
        </w:rPr>
        <w:t>za mjere ruralnog razvoja</w:t>
      </w:r>
      <w:r w:rsidRPr="00905AFF">
        <w:t xml:space="preserve"> utrošeno je 759,1 milijun kuna, od čega 694,7 milijuna kuna iz sredstava Europske unije. Sredstva koja se izdvajaju za mjere ruralnog razvoja uvećana su za 76,6 milijuna kuna u odnosu na 2018. godinu. </w:t>
      </w:r>
    </w:p>
    <w:p w:rsidR="00CD1CE4" w:rsidRPr="002D7A1F" w:rsidRDefault="00CD1CE4" w:rsidP="002D7A1F">
      <w:pPr>
        <w:ind w:left="720"/>
        <w:jc w:val="both"/>
      </w:pPr>
    </w:p>
    <w:p w:rsidR="00CD1CE4" w:rsidRDefault="00CD1CE4" w:rsidP="002D7A1F">
      <w:pPr>
        <w:jc w:val="both"/>
      </w:pPr>
      <w:r w:rsidRPr="002F3DBE">
        <w:rPr>
          <w:b/>
        </w:rPr>
        <w:t>Subvencije u resoru Ministarstva mora, prometa i infrastrukture</w:t>
      </w:r>
      <w:r w:rsidRPr="002F3DBE">
        <w:t xml:space="preserve"> </w:t>
      </w:r>
      <w:r>
        <w:t xml:space="preserve">isplaćene su u iznosu od </w:t>
      </w:r>
      <w:r w:rsidRPr="002F3DBE">
        <w:t xml:space="preserve">1,9 milijardi kuna što </w:t>
      </w:r>
      <w:r>
        <w:t>je</w:t>
      </w:r>
      <w:r w:rsidRPr="002F3DBE">
        <w:t xml:space="preserve"> 99,7% planirani</w:t>
      </w:r>
      <w:r>
        <w:t xml:space="preserve">h sredstava i to za: </w:t>
      </w:r>
    </w:p>
    <w:p w:rsidR="00CD1CE4" w:rsidRDefault="00CD1CE4" w:rsidP="002D7A1F">
      <w:pPr>
        <w:numPr>
          <w:ilvl w:val="0"/>
          <w:numId w:val="12"/>
        </w:numPr>
        <w:jc w:val="both"/>
      </w:pPr>
      <w:r w:rsidRPr="008E5CD0">
        <w:t>poticanje željezničkog i pomorskog putničkog prometa 765,1 milijun kuna,</w:t>
      </w:r>
    </w:p>
    <w:p w:rsidR="00CD1CE4" w:rsidRDefault="00CD1CE4" w:rsidP="002D7A1F">
      <w:pPr>
        <w:numPr>
          <w:ilvl w:val="0"/>
          <w:numId w:val="12"/>
        </w:numPr>
        <w:jc w:val="both"/>
      </w:pPr>
      <w:r w:rsidRPr="008E5CD0">
        <w:lastRenderedPageBreak/>
        <w:t>provedbu ugovora o koncesijama (Bina-Istra, autoceste Zagreb - Macelj i Rijeka - Zagre</w:t>
      </w:r>
      <w:r>
        <w:t>b) 442,4 milijuna kuna,</w:t>
      </w:r>
    </w:p>
    <w:p w:rsidR="00CD1CE4" w:rsidRDefault="00CD1CE4" w:rsidP="002D7A1F">
      <w:pPr>
        <w:numPr>
          <w:ilvl w:val="0"/>
          <w:numId w:val="12"/>
        </w:numPr>
        <w:jc w:val="both"/>
      </w:pPr>
      <w:r w:rsidRPr="00C60E34">
        <w:t xml:space="preserve">upravljanje, organizaciju i regulaciju željezničkog prometa 445,0 milijuna kuna, </w:t>
      </w:r>
    </w:p>
    <w:p w:rsidR="00CD1CE4" w:rsidRDefault="00CD1CE4" w:rsidP="002D7A1F">
      <w:pPr>
        <w:numPr>
          <w:ilvl w:val="0"/>
          <w:numId w:val="12"/>
        </w:numPr>
        <w:jc w:val="both"/>
      </w:pPr>
      <w:r w:rsidRPr="00C60E34">
        <w:t xml:space="preserve">očuvanje prometne povezanosti regija (domaći linijski zračni prijevoz) </w:t>
      </w:r>
      <w:r>
        <w:t xml:space="preserve">99,8 milijuna kuna. </w:t>
      </w:r>
    </w:p>
    <w:p w:rsidR="00CD1CE4" w:rsidRDefault="00CD1CE4" w:rsidP="002D7A1F">
      <w:pPr>
        <w:jc w:val="both"/>
      </w:pPr>
      <w:r>
        <w:t xml:space="preserve">Navedene subvencije financiraju se isključivo iz nacionalnih izvora financiranja. </w:t>
      </w:r>
    </w:p>
    <w:p w:rsidR="00CD1CE4" w:rsidRDefault="00CD1CE4" w:rsidP="002D7A1F">
      <w:pPr>
        <w:jc w:val="both"/>
      </w:pPr>
    </w:p>
    <w:p w:rsidR="00CD1CE4" w:rsidRDefault="00CD1CE4" w:rsidP="002D7A1F">
      <w:pPr>
        <w:jc w:val="both"/>
      </w:pPr>
      <w:r w:rsidRPr="00D706D4">
        <w:rPr>
          <w:b/>
        </w:rPr>
        <w:t>Subvencije dodijeljene u resoru Ministarstva rada i mirovinskog sustava</w:t>
      </w:r>
      <w:r w:rsidRPr="00D706D4">
        <w:t xml:space="preserve"> u </w:t>
      </w:r>
      <w:r>
        <w:t>2019. godini</w:t>
      </w:r>
      <w:r w:rsidRPr="00D706D4">
        <w:t xml:space="preserve"> iznose 730,8 milijuna kuna što je za 165,6 milijuna kuna odnosno 29,3% više u odnosu na izvršenje 2018. godine. Najveći iznos rashoda za subvencije od 714,1 milijun kuna izvršava se u okviru Hrvatskog zavoda za zapošljavanje kroz program Aktivna politika tržišta rada i to za aktivnost Aktivna politika zapošljavanja i tekući projekt OP Učinkoviti ljudski potencijali 2014.-2020. Za subvencije koje se financiraju u okviru aktivnosti Aktivna politika zapošljavanja, a koje se odnose na potpore poslodavcima za zapošljavanje, samozapošljavanje, usavršavanje i očuvanje radnih mjesta i sl. u 2019. godini izdvojeno je 113,1 milijun kuna. U okviru tekućeg projekta OP Učinkoviti ljudski potencijali 2014.-2020. provode se </w:t>
      </w:r>
      <w:proofErr w:type="spellStart"/>
      <w:r w:rsidRPr="00D706D4">
        <w:t>podprojekti</w:t>
      </w:r>
      <w:proofErr w:type="spellEnd"/>
      <w:r w:rsidRPr="00D706D4">
        <w:t xml:space="preserve"> Podrška samozapošljavanju, Potpore za zapošljavanje teže </w:t>
      </w:r>
      <w:proofErr w:type="spellStart"/>
      <w:r w:rsidRPr="00D706D4">
        <w:t>zapošljivih</w:t>
      </w:r>
      <w:proofErr w:type="spellEnd"/>
      <w:r w:rsidRPr="00D706D4">
        <w:t xml:space="preserve"> skupina i edukacija nezaposlenih osoba, Provedba mjera aktivne politike zapošljavanja za mlade i sl. i za navedene svrhe iz</w:t>
      </w:r>
      <w:r>
        <w:t>dvojeno je 600,1 milijun</w:t>
      </w:r>
      <w:r w:rsidRPr="00D706D4">
        <w:t xml:space="preserve"> kuna subvencija, odnosno 232,9 milijuna kuna više u odnosu na 2018. godinu.</w:t>
      </w:r>
    </w:p>
    <w:p w:rsidR="00CD1CE4" w:rsidRDefault="00CD1CE4" w:rsidP="002D7A1F">
      <w:pPr>
        <w:jc w:val="both"/>
      </w:pPr>
    </w:p>
    <w:p w:rsidR="00CD1CE4" w:rsidRPr="00D706D4" w:rsidRDefault="00CD1CE4" w:rsidP="002D7A1F">
      <w:pPr>
        <w:jc w:val="both"/>
      </w:pPr>
      <w:r w:rsidRPr="00D706D4">
        <w:t>Program Aktivna politika tržišta rada, osim na ovoj skupini r</w:t>
      </w:r>
      <w:r>
        <w:t>ashoda, izvršava se i na ostalim</w:t>
      </w:r>
      <w:r w:rsidRPr="00D706D4">
        <w:t xml:space="preserve"> skupina</w:t>
      </w:r>
      <w:r>
        <w:t>ma</w:t>
      </w:r>
      <w:r w:rsidRPr="00D706D4">
        <w:t xml:space="preserve"> rashoda te je za cijeli Program Aktivna politika tržišta rada unutar resora Ministarstva rada i mi</w:t>
      </w:r>
      <w:r>
        <w:t>rovinskog sustava u 2019. godini</w:t>
      </w:r>
      <w:r w:rsidRPr="00D706D4">
        <w:t xml:space="preserve"> izdvojeno 1,6 milijardi kuna, od čega </w:t>
      </w:r>
      <w:r>
        <w:t>je iznos</w:t>
      </w:r>
      <w:r w:rsidRPr="00D706D4">
        <w:t xml:space="preserve"> od 794,9 milijuna kuna financiran sredstvima Europske unije, dok je iz nac</w:t>
      </w:r>
      <w:r>
        <w:t xml:space="preserve">ionalnih sredstava isplaćeno </w:t>
      </w:r>
      <w:r w:rsidRPr="00D706D4">
        <w:t>769,8 milijuna kuna.</w:t>
      </w:r>
    </w:p>
    <w:p w:rsidR="00CD1CE4" w:rsidRPr="00A916CE" w:rsidRDefault="00CD1CE4" w:rsidP="002D7A1F">
      <w:pPr>
        <w:jc w:val="both"/>
      </w:pPr>
    </w:p>
    <w:p w:rsidR="00CD1CE4" w:rsidRDefault="00CD1CE4" w:rsidP="002D7A1F">
      <w:pPr>
        <w:jc w:val="both"/>
      </w:pPr>
      <w:r w:rsidRPr="00A916CE">
        <w:rPr>
          <w:b/>
        </w:rPr>
        <w:t>Subvencije u sektoru gospodarstva i poduzetništva</w:t>
      </w:r>
      <w:r w:rsidRPr="00A916CE">
        <w:t xml:space="preserve"> izvršene su </w:t>
      </w:r>
      <w:r>
        <w:t xml:space="preserve">u iznosu od 145,2 milijuna kuna, </w:t>
      </w:r>
      <w:r w:rsidRPr="00A916CE">
        <w:t xml:space="preserve">od čega se najznačajniji iznos odnosi na provedbu </w:t>
      </w:r>
      <w:r w:rsidRPr="008C4160">
        <w:t xml:space="preserve">mjera za poticanje ulaganja i mjere za poticanje istraživanja, razvoja i inovacija. </w:t>
      </w:r>
      <w:r>
        <w:t xml:space="preserve">Od navedenog iznosa, </w:t>
      </w:r>
      <w:r w:rsidRPr="008C4160">
        <w:t xml:space="preserve">73,1 milijun kuna </w:t>
      </w:r>
      <w:r>
        <w:t xml:space="preserve">financirano je </w:t>
      </w:r>
      <w:r w:rsidRPr="009949B0">
        <w:t>sredstvima Europske unije</w:t>
      </w:r>
      <w:r w:rsidRPr="008C4160">
        <w:t xml:space="preserve"> što je za 11,9 milijuna kuna više u odnosu na prethodnu godinu.</w:t>
      </w:r>
    </w:p>
    <w:p w:rsidR="00CD1CE4" w:rsidRDefault="00CD1CE4" w:rsidP="002D7A1F">
      <w:pPr>
        <w:jc w:val="both"/>
      </w:pPr>
    </w:p>
    <w:p w:rsidR="00CD1CE4" w:rsidRDefault="00CD1CE4" w:rsidP="002D7A1F">
      <w:pPr>
        <w:jc w:val="both"/>
      </w:pPr>
      <w:r>
        <w:t xml:space="preserve">Nadalje, </w:t>
      </w:r>
      <w:r w:rsidRPr="00A6338C">
        <w:t>u 2019.</w:t>
      </w:r>
      <w:r>
        <w:t xml:space="preserve"> godini izdvojen je iznos</w:t>
      </w:r>
      <w:r w:rsidRPr="00A6338C">
        <w:t xml:space="preserve"> od 100,0 milijuna kuna za Croatia Airlines</w:t>
      </w:r>
      <w:r>
        <w:t xml:space="preserve"> d.d.</w:t>
      </w:r>
      <w:r w:rsidRPr="00A6338C">
        <w:t xml:space="preserve"> temeljem Odluke Vlade Republike Hrvatske </w:t>
      </w:r>
      <w:r>
        <w:t xml:space="preserve">za </w:t>
      </w:r>
      <w:r w:rsidRPr="009949B0">
        <w:t>prvi dio predujma potrebnog za osiguranje nužne stabilizacije poslovanja prije provedbe procesa povećanja kapitala društva od strane Republike Hrvatske i drugih zainteresiranih investitora</w:t>
      </w:r>
      <w:r>
        <w:t>.</w:t>
      </w:r>
    </w:p>
    <w:p w:rsidR="00CD1CE4" w:rsidRPr="002D7A1F" w:rsidRDefault="00CD1CE4" w:rsidP="002D7A1F">
      <w:pPr>
        <w:jc w:val="both"/>
      </w:pPr>
    </w:p>
    <w:p w:rsidR="00CD1CE4" w:rsidRPr="002D7A1F" w:rsidRDefault="00CD1CE4" w:rsidP="002D7A1F">
      <w:pPr>
        <w:jc w:val="both"/>
      </w:pPr>
      <w:r w:rsidRPr="002D7A1F">
        <w:t>Od ukupno izvršenih 7,2 milijarde kuna rashoda za subvencije u 2019. godini, iz sredstava Europske unije financirano je 3,7 milijardi kuna rashoda za subvencije što je 22,5% više u odnosu na izvršenje prethodne godine.</w:t>
      </w:r>
    </w:p>
    <w:p w:rsidR="00CD1CE4" w:rsidRPr="002D7A1F" w:rsidRDefault="00CD1CE4" w:rsidP="002D7A1F">
      <w:pPr>
        <w:jc w:val="both"/>
        <w:rPr>
          <w:highlight w:val="yellow"/>
        </w:rPr>
      </w:pPr>
    </w:p>
    <w:p w:rsidR="00CD1CE4" w:rsidRPr="005B3216" w:rsidRDefault="00CD1CE4" w:rsidP="002D7A1F">
      <w:pPr>
        <w:jc w:val="both"/>
        <w:rPr>
          <w:b/>
        </w:rPr>
      </w:pPr>
      <w:r w:rsidRPr="005B3216">
        <w:rPr>
          <w:b/>
        </w:rPr>
        <w:t>Pomoći dane u inozemstvo i unutar općeg proračuna</w:t>
      </w:r>
    </w:p>
    <w:p w:rsidR="00CD1CE4" w:rsidRPr="004D07CA" w:rsidRDefault="00CD1CE4" w:rsidP="002D7A1F">
      <w:pPr>
        <w:jc w:val="both"/>
        <w:rPr>
          <w:b/>
          <w:i/>
          <w:highlight w:val="yellow"/>
        </w:rPr>
      </w:pPr>
    </w:p>
    <w:p w:rsidR="00CD1CE4" w:rsidRDefault="00CD1CE4" w:rsidP="002D7A1F">
      <w:pPr>
        <w:jc w:val="both"/>
      </w:pPr>
      <w:r w:rsidRPr="004D07CA">
        <w:t xml:space="preserve">Pomoći dane u inozemstvo i unutar općeg proračuna u 2019. izvršene su </w:t>
      </w:r>
      <w:r>
        <w:t>u iznosu od 16,1 milijardu kuna</w:t>
      </w:r>
      <w:r w:rsidRPr="004D07CA">
        <w:t xml:space="preserve"> odnosno 99,7% planir</w:t>
      </w:r>
      <w:r>
        <w:t>anih sredstava</w:t>
      </w:r>
      <w:r w:rsidRPr="004D07CA">
        <w:t>, a u usporedbi s prethodnom godinom po</w:t>
      </w:r>
      <w:r>
        <w:t xml:space="preserve">većane su </w:t>
      </w:r>
      <w:r w:rsidRPr="004D07CA">
        <w:t>za 803,3 milijuna kuna odnosno 5</w:t>
      </w:r>
      <w:r>
        <w:t>,3%.</w:t>
      </w:r>
    </w:p>
    <w:p w:rsidR="00CD1CE4" w:rsidRPr="004D07CA" w:rsidRDefault="00CD1CE4" w:rsidP="002D7A1F">
      <w:pPr>
        <w:jc w:val="both"/>
        <w:rPr>
          <w:highlight w:val="yellow"/>
        </w:rPr>
      </w:pPr>
    </w:p>
    <w:p w:rsidR="00CD1CE4" w:rsidRDefault="00CD1CE4" w:rsidP="002D7A1F">
      <w:pPr>
        <w:jc w:val="both"/>
      </w:pPr>
      <w:r w:rsidRPr="004D07CA">
        <w:t>Najznačajniji iznos od 3,8 milijardi kuna odnosi se na doprinos Republike Hrvatske proračunu Europske unije, što je u odnosu na prethodnu godinu povećanje od 488,2 milijuna kuna.</w:t>
      </w:r>
    </w:p>
    <w:p w:rsidR="00CD1CE4" w:rsidRDefault="00CD1CE4" w:rsidP="002D7A1F">
      <w:pPr>
        <w:jc w:val="both"/>
      </w:pPr>
    </w:p>
    <w:p w:rsidR="00CD1CE4" w:rsidRPr="004D07CA" w:rsidRDefault="00CD1CE4" w:rsidP="002D7A1F">
      <w:pPr>
        <w:jc w:val="both"/>
      </w:pPr>
      <w:r w:rsidRPr="004D07CA">
        <w:t xml:space="preserve">Za naknadu u cijeni goriva za Hrvatske ceste izdvojeno je 2,0 milijarde kuna, dok je za potporu županijskim upravama za ceste za održavanje, rekonstrukciju i građenje županijskih i lokalnih cesta doznačen iznos od 35,5 milijuna kuna. </w:t>
      </w:r>
    </w:p>
    <w:p w:rsidR="00CD1CE4" w:rsidRPr="004D07CA" w:rsidRDefault="00CD1CE4" w:rsidP="002D7A1F">
      <w:pPr>
        <w:jc w:val="both"/>
      </w:pPr>
    </w:p>
    <w:p w:rsidR="00CD1CE4" w:rsidRDefault="00CD1CE4" w:rsidP="002D7A1F">
      <w:pPr>
        <w:jc w:val="both"/>
      </w:pPr>
      <w:r w:rsidRPr="004D07CA">
        <w:t xml:space="preserve">Za transfer proračunskih sredstava Hrvatskom zavodu za zdravstveno osiguranje izdvojeno je ukupno 2,6 milijardi kuna, što je u odnosu na 2018. smanjenje od </w:t>
      </w:r>
      <w:r>
        <w:t>500,0</w:t>
      </w:r>
      <w:r w:rsidRPr="004D07CA">
        <w:t xml:space="preserve"> milijuna kuna ili 16,1%. Razlog smanjena sredstava je ostvarivanje većih prihoda Hrvatskog zavoda za zdravstveno osiguranje uslijed promjena u sustavu doprinosa. Naime, Izmjenama i dopunama Zakona o doprinos</w:t>
      </w:r>
      <w:r>
        <w:t>ima (Narodne novine, broj 106/</w:t>
      </w:r>
      <w:r w:rsidRPr="004D07CA">
        <w:t>18) doprinos za zdravstveno osiguranje povećan je na 16,5%, uz istovremeno ukidanje doprinosa za obvezno osiguranje u slučaju nezaposlenosti od 1,7% i doprinosa za zaštitu na radu od 0,5%.</w:t>
      </w:r>
      <w:r w:rsidRPr="00A774F1">
        <w:t xml:space="preserve"> </w:t>
      </w:r>
      <w:r>
        <w:t>Prema podacima iz I</w:t>
      </w:r>
      <w:r w:rsidRPr="00253DBD">
        <w:t>zv</w:t>
      </w:r>
      <w:r>
        <w:t>ještaja o izvršenju financijskog plana Hrvatskog zavoda za zdravstveno osiguranje za 2019. godinu, prihodi od doprinosa za zdravstveno osiguranje ostvareni su za 2,3 milijarde kuna više u odnosu na 2018. godinu.</w:t>
      </w:r>
    </w:p>
    <w:p w:rsidR="00CD1CE4" w:rsidRDefault="00CD1CE4" w:rsidP="002D7A1F">
      <w:pPr>
        <w:jc w:val="both"/>
      </w:pPr>
    </w:p>
    <w:p w:rsidR="00CD1CE4" w:rsidRPr="004D07CA" w:rsidRDefault="00CD1CE4" w:rsidP="002D7A1F">
      <w:pPr>
        <w:jc w:val="both"/>
      </w:pPr>
      <w:r w:rsidRPr="004D07CA">
        <w:t>U 2019. godini Ministarstvo zdravstva je</w:t>
      </w:r>
      <w:r>
        <w:t>,</w:t>
      </w:r>
      <w:r w:rsidRPr="004D07CA">
        <w:t xml:space="preserve"> s</w:t>
      </w:r>
      <w:r w:rsidRPr="004D07CA">
        <w:rPr>
          <w:sz w:val="23"/>
          <w:szCs w:val="23"/>
        </w:rPr>
        <w:t xml:space="preserve"> ciljem rješavanja problema vezano uz dospjele nepodmirene obveze u sektoru zdravstva</w:t>
      </w:r>
      <w:r>
        <w:rPr>
          <w:sz w:val="23"/>
          <w:szCs w:val="23"/>
        </w:rPr>
        <w:t>,</w:t>
      </w:r>
      <w:r w:rsidRPr="004D07CA">
        <w:rPr>
          <w:sz w:val="23"/>
          <w:szCs w:val="23"/>
        </w:rPr>
        <w:t xml:space="preserve"> isplatilo iznos </w:t>
      </w:r>
      <w:r w:rsidRPr="004D07CA">
        <w:t>od 152,6 milijuna kuna od čega:</w:t>
      </w:r>
    </w:p>
    <w:p w:rsidR="00CD1CE4" w:rsidRPr="004D07CA" w:rsidRDefault="00CD1CE4" w:rsidP="002D7A1F">
      <w:pPr>
        <w:numPr>
          <w:ilvl w:val="0"/>
          <w:numId w:val="12"/>
        </w:numPr>
        <w:jc w:val="both"/>
      </w:pPr>
      <w:r w:rsidRPr="004D07CA">
        <w:t xml:space="preserve">35,0 milijuna kuna namjenske pomoći županijama, temeljem Zakona o izvršavanju Državnog proračuna Republike Hrvatske za 2019. </w:t>
      </w:r>
      <w:r>
        <w:t>g</w:t>
      </w:r>
      <w:r w:rsidRPr="004D07CA">
        <w:t>odinu</w:t>
      </w:r>
      <w:r>
        <w:t>,</w:t>
      </w:r>
      <w:r w:rsidRPr="004D07CA">
        <w:t xml:space="preserve"> za podmirivanje dijela dospjelih obveza bolničkih zdravstvenih ustanova u vlasništvu županija prema dobavljačima lijekova, potrošnog i </w:t>
      </w:r>
      <w:proofErr w:type="spellStart"/>
      <w:r w:rsidRPr="004D07CA">
        <w:t>ugradbenog</w:t>
      </w:r>
      <w:proofErr w:type="spellEnd"/>
      <w:r w:rsidRPr="004D07CA">
        <w:t xml:space="preserve"> medicinskog materijala i</w:t>
      </w:r>
    </w:p>
    <w:p w:rsidR="00CD1CE4" w:rsidRPr="004D07CA" w:rsidRDefault="00CD1CE4" w:rsidP="002D7A1F">
      <w:pPr>
        <w:numPr>
          <w:ilvl w:val="0"/>
          <w:numId w:val="12"/>
        </w:numPr>
        <w:jc w:val="both"/>
      </w:pPr>
      <w:r w:rsidRPr="004D07CA">
        <w:t xml:space="preserve">117,6 milijuna kuna za bolničke zdravstvene ustanove kojima je osnivač Republika Hrvatska temeljem Odluka Vlade Republike Hrvatske za podmirivanje dijela njihovih dospjelih obveza prema dobavljačima lijekova, potrošnog i </w:t>
      </w:r>
      <w:proofErr w:type="spellStart"/>
      <w:r w:rsidRPr="004D07CA">
        <w:t>ugradbenog</w:t>
      </w:r>
      <w:proofErr w:type="spellEnd"/>
      <w:r w:rsidRPr="004D07CA">
        <w:t xml:space="preserve"> medicinskog materijala.</w:t>
      </w:r>
    </w:p>
    <w:p w:rsidR="00CD1CE4" w:rsidRPr="004D07CA" w:rsidRDefault="00CD1CE4" w:rsidP="002D7A1F">
      <w:pPr>
        <w:jc w:val="both"/>
      </w:pPr>
    </w:p>
    <w:p w:rsidR="00CD1CE4" w:rsidRDefault="00CD1CE4" w:rsidP="002D7A1F">
      <w:pPr>
        <w:jc w:val="both"/>
      </w:pPr>
      <w:r w:rsidRPr="004D07CA">
        <w:t>Za dodatna sredstva izravnanja za decentralizirane funkcije i</w:t>
      </w:r>
      <w:r>
        <w:t>zdvojeno je 1,6 milijardi kuna.</w:t>
      </w:r>
      <w:r w:rsidRPr="00257367">
        <w:t xml:space="preserve"> </w:t>
      </w:r>
    </w:p>
    <w:p w:rsidR="00CD1CE4" w:rsidRDefault="00CD1CE4" w:rsidP="002D7A1F">
      <w:pPr>
        <w:jc w:val="both"/>
      </w:pPr>
    </w:p>
    <w:p w:rsidR="00CD1CE4" w:rsidRDefault="00CD1CE4" w:rsidP="002D7A1F">
      <w:pPr>
        <w:jc w:val="both"/>
      </w:pPr>
      <w:r>
        <w:t xml:space="preserve">Za </w:t>
      </w:r>
      <w:r w:rsidRPr="004D07CA">
        <w:t>pomoći lokalnoj i područnoj (regionalnoj) samoupravi</w:t>
      </w:r>
      <w:r>
        <w:t xml:space="preserve"> </w:t>
      </w:r>
      <w:r w:rsidRPr="004D07CA">
        <w:t>izdvojeno</w:t>
      </w:r>
      <w:r>
        <w:t xml:space="preserve"> je 82,1 milijun kuna.</w:t>
      </w:r>
      <w:r w:rsidRPr="004D07CA">
        <w:t xml:space="preserve"> </w:t>
      </w:r>
      <w:r>
        <w:t>S</w:t>
      </w:r>
      <w:r w:rsidRPr="00BD004E">
        <w:t>ukladno Zakonu o financiranju jedinica lokalne i p</w:t>
      </w:r>
      <w:r>
        <w:t>odručne (regionalne) samouprave,</w:t>
      </w:r>
      <w:r w:rsidRPr="00DD2C10">
        <w:t xml:space="preserve"> </w:t>
      </w:r>
      <w:r>
        <w:t>jedinicama lokalne i područne (regionalne) samouprave su se tijekom 2018. godine iz državnog proračuna isplaćivale pomoći u visini razlike između zbroja prihoda od poreza na dohodak i prireza ostvarenih u 2017. godini i prihoda od pomoći koji su u 2017. godini ostvareni u skladu s odredbama Zakona o izvršavanju Državnog proračuna Republike Hrvatske za 2017. godinu te prihoda od poreza na dohodak i prireza koji su ostvareni tijekom 2018. godine. Također,</w:t>
      </w:r>
      <w:r w:rsidRPr="004550CB">
        <w:t xml:space="preserve"> </w:t>
      </w:r>
      <w:r>
        <w:t>s</w:t>
      </w:r>
      <w:r w:rsidRPr="004550CB">
        <w:t>ukladno Zakonu o financiranju jedinica lokalne i područne (regionalne) samouprave</w:t>
      </w:r>
      <w:r>
        <w:t>, u 2019. godini su j</w:t>
      </w:r>
      <w:r w:rsidRPr="00AE7296">
        <w:t xml:space="preserve">edinicama lokalne i područne (regionalne) samouprave </w:t>
      </w:r>
      <w:r>
        <w:t>isplaćene pomoći u istoj visini kao i u 2018. godini.</w:t>
      </w:r>
    </w:p>
    <w:p w:rsidR="00CD1CE4" w:rsidRDefault="00CD1CE4" w:rsidP="002D7A1F">
      <w:pPr>
        <w:jc w:val="both"/>
      </w:pPr>
    </w:p>
    <w:p w:rsidR="00CD1CE4" w:rsidRDefault="00CD1CE4" w:rsidP="002D7A1F">
      <w:pPr>
        <w:jc w:val="both"/>
      </w:pPr>
      <w:r>
        <w:t xml:space="preserve">U 2019. godini je za </w:t>
      </w:r>
      <w:r w:rsidRPr="004F3A7B">
        <w:t>sufinanciranje nastavnih materijala i opreme za učenike osnovnih i srednjih škola</w:t>
      </w:r>
      <w:r>
        <w:t xml:space="preserve"> te za </w:t>
      </w:r>
      <w:r w:rsidRPr="004F3A7B">
        <w:t>javni međumjesni prijevoz za učenike</w:t>
      </w:r>
      <w:r>
        <w:t xml:space="preserve"> izdvojeno ukupno 438,4 milijuna kuna.</w:t>
      </w:r>
    </w:p>
    <w:p w:rsidR="00CD1CE4" w:rsidRPr="004D07CA" w:rsidRDefault="00CD1CE4" w:rsidP="002D7A1F">
      <w:pPr>
        <w:tabs>
          <w:tab w:val="num" w:pos="360"/>
        </w:tabs>
        <w:jc w:val="both"/>
      </w:pPr>
      <w:r w:rsidRPr="004D07CA">
        <w:t xml:space="preserve">Rashodi za pomoći dane u inozemstvo i unutar općeg proračuna financirani iz fondova Europske unije u 2019. </w:t>
      </w:r>
      <w:r>
        <w:t xml:space="preserve">godini </w:t>
      </w:r>
      <w:r w:rsidRPr="004D07CA">
        <w:t xml:space="preserve">izvršeni su u iznosu </w:t>
      </w:r>
      <w:r>
        <w:t xml:space="preserve">od </w:t>
      </w:r>
      <w:r w:rsidRPr="004D07CA">
        <w:t>3,6 milijardi kuna. Najznačajnija sredstva izdvojena su za:</w:t>
      </w:r>
    </w:p>
    <w:p w:rsidR="00CD1CE4" w:rsidRPr="004D07CA" w:rsidRDefault="00CD1CE4" w:rsidP="002D7A1F">
      <w:pPr>
        <w:numPr>
          <w:ilvl w:val="0"/>
          <w:numId w:val="12"/>
        </w:numPr>
        <w:jc w:val="both"/>
      </w:pPr>
      <w:r w:rsidRPr="004D07CA">
        <w:t>programe gospodarenja otpadom i razvoja sustava javne odvodnje i zaštite voda i mora (</w:t>
      </w:r>
      <w:proofErr w:type="spellStart"/>
      <w:r w:rsidRPr="004D07CA">
        <w:t>vodokomunalni</w:t>
      </w:r>
      <w:proofErr w:type="spellEnd"/>
      <w:r w:rsidRPr="004D07CA">
        <w:t xml:space="preserve"> projekti, projekti obrane od poplava, projekt </w:t>
      </w:r>
      <w:proofErr w:type="spellStart"/>
      <w:r w:rsidRPr="004D07CA">
        <w:t>reciklažna</w:t>
      </w:r>
      <w:proofErr w:type="spellEnd"/>
      <w:r w:rsidRPr="004D07CA">
        <w:t xml:space="preserve"> dvorišta) iz resora Ministarstva zaštite okoliša i</w:t>
      </w:r>
      <w:r>
        <w:t xml:space="preserve"> energetike 791,8 milijuna kuna,</w:t>
      </w:r>
    </w:p>
    <w:p w:rsidR="00CD1CE4" w:rsidRDefault="00CD1CE4" w:rsidP="002D7A1F">
      <w:pPr>
        <w:numPr>
          <w:ilvl w:val="0"/>
          <w:numId w:val="12"/>
        </w:numPr>
        <w:jc w:val="both"/>
      </w:pPr>
      <w:r w:rsidRPr="004D07CA">
        <w:t>projekt cestovne povezanosti s južnom Dalmacijom</w:t>
      </w:r>
      <w:r>
        <w:t xml:space="preserve"> 428,0 milijuna kuna,</w:t>
      </w:r>
    </w:p>
    <w:p w:rsidR="00CD1CE4" w:rsidRDefault="00CD1CE4" w:rsidP="002D7A1F">
      <w:pPr>
        <w:numPr>
          <w:ilvl w:val="0"/>
          <w:numId w:val="12"/>
        </w:numPr>
        <w:jc w:val="both"/>
      </w:pPr>
      <w:r w:rsidRPr="004D07CA">
        <w:lastRenderedPageBreak/>
        <w:t>program ruralnog razvoja 370,1 milijun kuna</w:t>
      </w:r>
      <w:r>
        <w:t>,</w:t>
      </w:r>
    </w:p>
    <w:p w:rsidR="00CD1CE4" w:rsidRDefault="00CD1CE4" w:rsidP="002D7A1F">
      <w:pPr>
        <w:numPr>
          <w:ilvl w:val="0"/>
          <w:numId w:val="12"/>
        </w:numPr>
        <w:jc w:val="both"/>
      </w:pPr>
      <w:r w:rsidRPr="004D07CA">
        <w:t>projekte energetske obnove zgrada 32</w:t>
      </w:r>
      <w:r>
        <w:t>6,5 milijuna kuna,</w:t>
      </w:r>
    </w:p>
    <w:p w:rsidR="00CD1CE4" w:rsidRPr="004D07CA" w:rsidRDefault="00CD1CE4" w:rsidP="002D7A1F">
      <w:pPr>
        <w:numPr>
          <w:ilvl w:val="0"/>
          <w:numId w:val="12"/>
        </w:numPr>
        <w:jc w:val="both"/>
      </w:pPr>
      <w:r w:rsidRPr="004D07CA">
        <w:t>jačanje konkurentnosti gospodarstva poticanjem investicija i učinkovitim korištenjem EU sredstava (razvoj poslovne infrastrukture, razvoj infrastrukture poduzetničkih zona)</w:t>
      </w:r>
      <w:r>
        <w:t xml:space="preserve"> 225,1 milijun kuna,</w:t>
      </w:r>
    </w:p>
    <w:p w:rsidR="00CD1CE4" w:rsidRPr="004D07CA" w:rsidRDefault="00CD1CE4" w:rsidP="002D7A1F">
      <w:pPr>
        <w:numPr>
          <w:ilvl w:val="0"/>
          <w:numId w:val="12"/>
        </w:numPr>
        <w:jc w:val="both"/>
      </w:pPr>
      <w:r w:rsidRPr="004D07CA">
        <w:t>provedbu</w:t>
      </w:r>
      <w:r>
        <w:t xml:space="preserve"> projekata u zdravstvu </w:t>
      </w:r>
      <w:r w:rsidRPr="004D07CA">
        <w:t>178,4 milijuna kuna te</w:t>
      </w:r>
    </w:p>
    <w:p w:rsidR="00CD1CE4" w:rsidRPr="004D07CA" w:rsidRDefault="00CD1CE4" w:rsidP="002D7A1F">
      <w:pPr>
        <w:numPr>
          <w:ilvl w:val="0"/>
          <w:numId w:val="12"/>
        </w:numPr>
        <w:jc w:val="both"/>
      </w:pPr>
      <w:r>
        <w:t>projekt R</w:t>
      </w:r>
      <w:r w:rsidRPr="004D07CA">
        <w:t>ekonstrukcija raskrižja Jadranske i Dubrovačke avenije – rotora Remetinec 159,3 milijuna kuna</w:t>
      </w:r>
      <w:r>
        <w:t>.</w:t>
      </w:r>
    </w:p>
    <w:p w:rsidR="00CD1CE4" w:rsidRPr="004D07CA" w:rsidRDefault="00CD1CE4" w:rsidP="002D7A1F">
      <w:pPr>
        <w:jc w:val="both"/>
      </w:pPr>
      <w:r w:rsidRPr="004D07CA">
        <w:rPr>
          <w:bCs/>
          <w:iCs/>
        </w:rPr>
        <w:t>U odnosu na isto razdoblje prethodne godine</w:t>
      </w:r>
      <w:r>
        <w:rPr>
          <w:bCs/>
          <w:iCs/>
        </w:rPr>
        <w:t>,</w:t>
      </w:r>
      <w:r w:rsidRPr="004D07CA">
        <w:rPr>
          <w:bCs/>
          <w:iCs/>
        </w:rPr>
        <w:t xml:space="preserve"> ukupno izvršene pomoći dane u inozemstvo i unutar općeg proračuna financirane iz fondova Europske unije u 2019. </w:t>
      </w:r>
      <w:r>
        <w:rPr>
          <w:bCs/>
          <w:iCs/>
        </w:rPr>
        <w:t xml:space="preserve">godini </w:t>
      </w:r>
      <w:r w:rsidRPr="004D07CA">
        <w:rPr>
          <w:bCs/>
          <w:iCs/>
        </w:rPr>
        <w:t>bilježe p</w:t>
      </w:r>
      <w:r>
        <w:rPr>
          <w:bCs/>
          <w:iCs/>
        </w:rPr>
        <w:t xml:space="preserve">ovećanje za 1,2 milijarde kuna </w:t>
      </w:r>
      <w:r w:rsidRPr="004D07CA">
        <w:rPr>
          <w:bCs/>
          <w:iCs/>
        </w:rPr>
        <w:t xml:space="preserve">odnosno 51,4%. </w:t>
      </w:r>
    </w:p>
    <w:p w:rsidR="00CD1CE4" w:rsidRPr="004D07CA" w:rsidRDefault="00CD1CE4" w:rsidP="002D7A1F">
      <w:pPr>
        <w:jc w:val="both"/>
        <w:rPr>
          <w:highlight w:val="yellow"/>
        </w:rPr>
      </w:pPr>
    </w:p>
    <w:p w:rsidR="00CD1CE4" w:rsidRPr="005B3216" w:rsidRDefault="00CD1CE4" w:rsidP="002D7A1F">
      <w:pPr>
        <w:jc w:val="both"/>
        <w:rPr>
          <w:b/>
        </w:rPr>
      </w:pPr>
      <w:r w:rsidRPr="005B3216">
        <w:rPr>
          <w:b/>
        </w:rPr>
        <w:t>Naknade građanima i kućanstvima na temelju osiguranja i druge naknade</w:t>
      </w:r>
    </w:p>
    <w:p w:rsidR="00CD1CE4" w:rsidRPr="004D07CA" w:rsidRDefault="00CD1CE4" w:rsidP="002D7A1F">
      <w:pPr>
        <w:jc w:val="both"/>
      </w:pPr>
    </w:p>
    <w:p w:rsidR="00CD1CE4" w:rsidRDefault="00CD1CE4" w:rsidP="002D7A1F">
      <w:pPr>
        <w:jc w:val="both"/>
      </w:pPr>
      <w:r w:rsidRPr="004D07CA">
        <w:t>Naknade građanima i kućanstvima u 2019. godini izvršene su u iznosu od 49,3 milijarde kuna što predstavlja 99,8% ukupno planiranih sredstava, a u usporedbi s prethodnom godinom po</w:t>
      </w:r>
      <w:r>
        <w:t>većane su za 1,5 milijardi kuna</w:t>
      </w:r>
      <w:r w:rsidRPr="004D07CA">
        <w:t xml:space="preserve"> odnosno 3,1%. </w:t>
      </w:r>
    </w:p>
    <w:p w:rsidR="00CD1CE4" w:rsidRDefault="00CD1CE4" w:rsidP="002D7A1F">
      <w:pPr>
        <w:jc w:val="both"/>
      </w:pPr>
    </w:p>
    <w:p w:rsidR="00CD1CE4" w:rsidRPr="002D7A1F" w:rsidRDefault="00CD1CE4" w:rsidP="002D7A1F">
      <w:pPr>
        <w:jc w:val="both"/>
        <w:rPr>
          <w:i/>
        </w:rPr>
      </w:pPr>
      <w:r w:rsidRPr="002D7A1F">
        <w:rPr>
          <w:i/>
        </w:rPr>
        <w:t xml:space="preserve">Tablica </w:t>
      </w:r>
      <w:r w:rsidR="002D7A1F" w:rsidRPr="002D7A1F">
        <w:rPr>
          <w:i/>
        </w:rPr>
        <w:t>9</w:t>
      </w:r>
      <w:r w:rsidRPr="002D7A1F">
        <w:rPr>
          <w:i/>
        </w:rPr>
        <w:t>. Rashodi za naknade građanima i kućanstvima na temelju osiguranja i druge naknade u 2018. i 2019. godini</w:t>
      </w:r>
    </w:p>
    <w:p w:rsidR="00CD1CE4" w:rsidRDefault="0092324A" w:rsidP="002D7A1F">
      <w:pPr>
        <w:jc w:val="both"/>
        <w:rPr>
          <w:highlight w:val="yellow"/>
        </w:rPr>
      </w:pPr>
      <w:r>
        <w:rPr>
          <w:noProof/>
        </w:rPr>
        <w:drawing>
          <wp:inline distT="0" distB="0" distL="0" distR="0" wp14:anchorId="5C5CCA2D" wp14:editId="6EC50DD1">
            <wp:extent cx="5753100" cy="2143125"/>
            <wp:effectExtent l="0" t="0" r="0"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2143125"/>
                    </a:xfrm>
                    <a:prstGeom prst="rect">
                      <a:avLst/>
                    </a:prstGeom>
                    <a:noFill/>
                    <a:ln>
                      <a:noFill/>
                    </a:ln>
                  </pic:spPr>
                </pic:pic>
              </a:graphicData>
            </a:graphic>
          </wp:inline>
        </w:drawing>
      </w:r>
    </w:p>
    <w:p w:rsidR="00CD1CE4" w:rsidRPr="004D07CA" w:rsidRDefault="00CD1CE4" w:rsidP="002D7A1F">
      <w:pPr>
        <w:jc w:val="both"/>
        <w:rPr>
          <w:highlight w:val="yellow"/>
        </w:rPr>
      </w:pPr>
    </w:p>
    <w:p w:rsidR="00CD1CE4" w:rsidRPr="004D07CA" w:rsidRDefault="00CD1CE4" w:rsidP="002D7A1F">
      <w:pPr>
        <w:jc w:val="both"/>
      </w:pPr>
      <w:r w:rsidRPr="004D07CA">
        <w:t xml:space="preserve">Najveći iznos rashoda u ovoj skupini odnosi se na </w:t>
      </w:r>
      <w:r w:rsidRPr="004D07CA">
        <w:rPr>
          <w:b/>
        </w:rPr>
        <w:t>mirovine i mirovinska primanja</w:t>
      </w:r>
      <w:r w:rsidRPr="004D07CA">
        <w:t>. Iste su izvršene u iznosu od 40,9 milijardi kuna što predstavlja 83,0% ukupno izvršenih rashoda za naknade građanima i kućanstvima u 2019. godini. Rashodi za mirovine i mirovinska primanja u 2019. godini financirani iz izvora 11 Opći prihodi i primici</w:t>
      </w:r>
      <w:r>
        <w:t xml:space="preserve"> </w:t>
      </w:r>
      <w:r w:rsidRPr="004D07CA">
        <w:t>iznose 17,4 milijarde kuna od čega se na mirovine ostvarene prema posebnim propisima pod povoljnijim uvjetima odnosi 6,0 milijardi kuna, a na mirovine ostvarene prema općem</w:t>
      </w:r>
      <w:r>
        <w:t xml:space="preserve"> propisu 11,</w:t>
      </w:r>
      <w:r w:rsidRPr="004D07CA">
        <w:t xml:space="preserve">4 milijarde kuna. Rashodi za mirovine i mirovinska primanja financirani iz izvora 21 Doprinosi za mirovinsko osiguranje iznose 23,5 milijardi kuna. </w:t>
      </w:r>
    </w:p>
    <w:p w:rsidR="00CD1CE4" w:rsidRPr="004D07CA" w:rsidRDefault="00CD1CE4" w:rsidP="002D7A1F">
      <w:pPr>
        <w:jc w:val="both"/>
      </w:pPr>
    </w:p>
    <w:p w:rsidR="00CD1CE4" w:rsidRPr="004D07CA" w:rsidRDefault="00CD1CE4" w:rsidP="002D7A1F">
      <w:pPr>
        <w:jc w:val="both"/>
      </w:pPr>
      <w:r w:rsidRPr="004D07CA">
        <w:t>U odnosu na izvršenje 2018.</w:t>
      </w:r>
      <w:r>
        <w:t xml:space="preserve"> godine</w:t>
      </w:r>
      <w:r w:rsidRPr="004D07CA">
        <w:t>, ukupno utrošena sredstva za mirovine</w:t>
      </w:r>
      <w:r>
        <w:t xml:space="preserve"> i mirovinska primanja</w:t>
      </w:r>
      <w:r w:rsidRPr="004D07CA">
        <w:t xml:space="preserve"> uvećana su za 1,6 milijardi kuna, i to zbog:</w:t>
      </w:r>
    </w:p>
    <w:p w:rsidR="00CD1CE4" w:rsidRPr="004D07CA" w:rsidRDefault="00CD1CE4" w:rsidP="002D7A1F">
      <w:pPr>
        <w:numPr>
          <w:ilvl w:val="0"/>
          <w:numId w:val="5"/>
        </w:numPr>
        <w:contextualSpacing/>
        <w:jc w:val="both"/>
      </w:pPr>
      <w:r w:rsidRPr="004D07CA">
        <w:t>usklađivanja mirovina ostvarenih prema općem i po</w:t>
      </w:r>
      <w:r>
        <w:t>sebnim propisima u 2019. godini</w:t>
      </w:r>
      <w:r w:rsidRPr="004D07CA">
        <w:t xml:space="preserve"> </w:t>
      </w:r>
      <w:r>
        <w:t>-</w:t>
      </w:r>
      <w:r w:rsidRPr="004D07CA">
        <w:t xml:space="preserve"> od 1. siječnja 2019.</w:t>
      </w:r>
      <w:r>
        <w:t xml:space="preserve"> godine</w:t>
      </w:r>
      <w:r w:rsidRPr="004D07CA">
        <w:t xml:space="preserve"> za 1,15% i od 1. srpnja 2019. </w:t>
      </w:r>
      <w:r>
        <w:t xml:space="preserve">godine </w:t>
      </w:r>
      <w:r w:rsidRPr="004D07CA">
        <w:t>za 2,44%,</w:t>
      </w:r>
    </w:p>
    <w:p w:rsidR="00CD1CE4" w:rsidRPr="004D07CA" w:rsidRDefault="00CD1CE4" w:rsidP="002D7A1F">
      <w:pPr>
        <w:numPr>
          <w:ilvl w:val="0"/>
          <w:numId w:val="5"/>
        </w:numPr>
        <w:contextualSpacing/>
        <w:jc w:val="both"/>
      </w:pPr>
      <w:r w:rsidRPr="004D07CA">
        <w:t xml:space="preserve">prenesenog kumuliranog učinka promjene broja i strukture korisnika mirovina te usklađivanja mirovina iz 2018. godine, </w:t>
      </w:r>
    </w:p>
    <w:p w:rsidR="00CD1CE4" w:rsidRPr="004D07CA" w:rsidRDefault="00CD1CE4" w:rsidP="002D7A1F">
      <w:pPr>
        <w:numPr>
          <w:ilvl w:val="0"/>
          <w:numId w:val="5"/>
        </w:numPr>
        <w:contextualSpacing/>
        <w:jc w:val="both"/>
      </w:pPr>
      <w:r>
        <w:t>primjene</w:t>
      </w:r>
      <w:r w:rsidRPr="004D07CA">
        <w:t xml:space="preserve"> novih Zakonskih propisa u okviru mirovinske reforme iz 2019. godine.</w:t>
      </w:r>
    </w:p>
    <w:p w:rsidR="00CD1CE4" w:rsidRPr="004D07CA" w:rsidRDefault="00CD1CE4" w:rsidP="002D7A1F">
      <w:pPr>
        <w:contextualSpacing/>
        <w:jc w:val="both"/>
        <w:rPr>
          <w:rFonts w:ascii="Calibri" w:eastAsia="Calibri" w:hAnsi="Calibri"/>
        </w:rPr>
      </w:pPr>
    </w:p>
    <w:p w:rsidR="00CD1CE4" w:rsidRDefault="00CD1CE4" w:rsidP="002D7A1F">
      <w:pPr>
        <w:jc w:val="both"/>
      </w:pPr>
      <w:r w:rsidRPr="004D07CA">
        <w:rPr>
          <w:b/>
        </w:rPr>
        <w:t>Naknade u socijalnoj skrbi</w:t>
      </w:r>
      <w:r w:rsidRPr="004D07CA">
        <w:t xml:space="preserve"> izvršene su u iznosu od 2,6 milijardi kuna. Najveći dio odnosi se na isplatu osobne invalidnine 610,5 milijuna kuna, doplatka za pomoć i njegu 520,2 milijuna kuna i zajamčene minimalne naknade 421,0 milijun kuna. U odnosu na prethodnu godinu naknade u socijalnoj skrbi pov</w:t>
      </w:r>
      <w:r>
        <w:t xml:space="preserve">ećane su za 168,6 milijuna kuna što </w:t>
      </w:r>
      <w:r w:rsidRPr="004D07CA">
        <w:t>je rezultat</w:t>
      </w:r>
      <w:r>
        <w:t>:</w:t>
      </w:r>
    </w:p>
    <w:p w:rsidR="00CD1CE4" w:rsidRDefault="00CD1CE4" w:rsidP="002D7A1F">
      <w:pPr>
        <w:numPr>
          <w:ilvl w:val="0"/>
          <w:numId w:val="5"/>
        </w:numPr>
        <w:contextualSpacing/>
        <w:jc w:val="both"/>
      </w:pPr>
      <w:r w:rsidRPr="00517E24">
        <w:t xml:space="preserve">povećanja rashoda za osobnu invalidninu za 106,1 milijun kuna </w:t>
      </w:r>
      <w:r>
        <w:t>i</w:t>
      </w:r>
      <w:r w:rsidRPr="00517E24">
        <w:t xml:space="preserve"> doplatka za pomoć i njegu za 68,7 milijuna kuna radi primjene o</w:t>
      </w:r>
      <w:r>
        <w:t>dredbi</w:t>
      </w:r>
      <w:r w:rsidRPr="00517E24">
        <w:t xml:space="preserve"> Zakona o izmjenama i dopunama Zakona o socijalnoj skrbi kojima se povećava osobna invalidnina i doplatak za pomoć i njegu</w:t>
      </w:r>
      <w:r>
        <w:t xml:space="preserve"> (od </w:t>
      </w:r>
      <w:r w:rsidRPr="00517E24">
        <w:t>1. travnja 2018. godine</w:t>
      </w:r>
      <w:r>
        <w:t>)</w:t>
      </w:r>
      <w:r w:rsidRPr="00517E24">
        <w:t xml:space="preserve"> te </w:t>
      </w:r>
    </w:p>
    <w:p w:rsidR="00CD1CE4" w:rsidRPr="007747EF" w:rsidRDefault="00CD1CE4" w:rsidP="002D7A1F">
      <w:pPr>
        <w:numPr>
          <w:ilvl w:val="0"/>
          <w:numId w:val="5"/>
        </w:numPr>
        <w:contextualSpacing/>
        <w:jc w:val="both"/>
      </w:pPr>
      <w:r w:rsidRPr="007747EF">
        <w:t>smanjenja rashoda za zajamčenu minimalnu naknadu za 64,1 milijun kuna radi smanjenog broja korisnika.</w:t>
      </w:r>
    </w:p>
    <w:p w:rsidR="00CD1CE4" w:rsidRPr="004D07CA" w:rsidRDefault="00CD1CE4" w:rsidP="002D7A1F">
      <w:pPr>
        <w:jc w:val="both"/>
        <w:rPr>
          <w:highlight w:val="yellow"/>
        </w:rPr>
      </w:pPr>
    </w:p>
    <w:p w:rsidR="00CD1CE4" w:rsidRPr="00E12FD5" w:rsidRDefault="00CD1CE4" w:rsidP="002D7A1F">
      <w:pPr>
        <w:jc w:val="both"/>
      </w:pPr>
      <w:r w:rsidRPr="004D07CA">
        <w:rPr>
          <w:b/>
          <w:bCs/>
        </w:rPr>
        <w:t>Naknade za nezaposlene</w:t>
      </w:r>
      <w:r w:rsidRPr="004D07CA">
        <w:rPr>
          <w:bCs/>
        </w:rPr>
        <w:t xml:space="preserve"> u </w:t>
      </w:r>
      <w:r w:rsidRPr="004D07CA">
        <w:t xml:space="preserve">2019. godini isplaćene su </w:t>
      </w:r>
      <w:r>
        <w:t>u iznosu od 868,9 milijuna kuna što je u odnosu na prethodnu godinu povećanje za 42,7 milijuna kuna ili 5,2% i to radi povećanja</w:t>
      </w:r>
      <w:r w:rsidRPr="00E12FD5">
        <w:t xml:space="preserve"> prosječno isplaćene mjesečne novčane naknade</w:t>
      </w:r>
      <w:r>
        <w:t xml:space="preserve"> te smanjenja broja korisnika novčane nak</w:t>
      </w:r>
      <w:r w:rsidRPr="00E12FD5">
        <w:t>n</w:t>
      </w:r>
      <w:r>
        <w:t>ade. Z</w:t>
      </w:r>
      <w:r w:rsidRPr="004D07CA">
        <w:t>a</w:t>
      </w:r>
      <w:r w:rsidRPr="004D07CA">
        <w:rPr>
          <w:bCs/>
        </w:rPr>
        <w:t xml:space="preserve"> </w:t>
      </w:r>
      <w:r w:rsidRPr="004D07CA">
        <w:rPr>
          <w:b/>
          <w:bCs/>
        </w:rPr>
        <w:t>aktivnu politiku tržišta rada</w:t>
      </w:r>
      <w:r w:rsidRPr="004D07CA">
        <w:rPr>
          <w:bCs/>
        </w:rPr>
        <w:t xml:space="preserve">, unutar ove skupine rashoda, izvršeno 343,8 milijuna kuna. </w:t>
      </w:r>
    </w:p>
    <w:p w:rsidR="00CD1CE4" w:rsidRPr="004D07CA" w:rsidRDefault="00CD1CE4" w:rsidP="002D7A1F">
      <w:pPr>
        <w:jc w:val="both"/>
        <w:rPr>
          <w:bCs/>
          <w:highlight w:val="yellow"/>
        </w:rPr>
      </w:pPr>
    </w:p>
    <w:p w:rsidR="00CD1CE4" w:rsidRPr="004D07CA" w:rsidRDefault="00CD1CE4" w:rsidP="002D7A1F">
      <w:pPr>
        <w:jc w:val="both"/>
        <w:rPr>
          <w:highlight w:val="yellow"/>
        </w:rPr>
      </w:pPr>
      <w:r w:rsidRPr="004D07CA">
        <w:rPr>
          <w:b/>
          <w:bCs/>
        </w:rPr>
        <w:t>Doplatak</w:t>
      </w:r>
      <w:r w:rsidRPr="004D07CA">
        <w:rPr>
          <w:b/>
        </w:rPr>
        <w:t xml:space="preserve"> za djecu</w:t>
      </w:r>
      <w:r w:rsidRPr="004D07CA">
        <w:t xml:space="preserve"> izvršen je </w:t>
      </w:r>
      <w:r>
        <w:t xml:space="preserve">u iznosu od 1,3 milijarde kuna </w:t>
      </w:r>
      <w:r w:rsidRPr="004D07CA">
        <w:t>odnosno 100,0% planiranog iznosa. U odnosu na 2018. godinu rashodi za ovu namjenu bilježe povećanje od 40,6 milijuna kuna ili 3,1%. Razlog povećanja je donošenje Izmjena i dopuna Zakona o doplatku za djecu, koji je stupio na snagu 1. srpnja 2018. godine, a kojim je dohodovni cenzus za dobivanje doplatka podignut s 50 na 70 % proračunske osnovice.</w:t>
      </w:r>
    </w:p>
    <w:p w:rsidR="00CD1CE4" w:rsidRPr="004D07CA" w:rsidRDefault="00CD1CE4" w:rsidP="002D7A1F">
      <w:pPr>
        <w:jc w:val="both"/>
        <w:rPr>
          <w:highlight w:val="yellow"/>
        </w:rPr>
      </w:pPr>
    </w:p>
    <w:p w:rsidR="00CD1CE4" w:rsidRPr="004D07CA" w:rsidRDefault="00CD1CE4" w:rsidP="002D7A1F">
      <w:pPr>
        <w:jc w:val="both"/>
      </w:pPr>
      <w:r w:rsidRPr="004D07CA">
        <w:t xml:space="preserve">Za </w:t>
      </w:r>
      <w:r w:rsidRPr="004D07CA">
        <w:rPr>
          <w:b/>
        </w:rPr>
        <w:t xml:space="preserve">dodatni </w:t>
      </w:r>
      <w:proofErr w:type="spellStart"/>
      <w:r w:rsidRPr="004D07CA">
        <w:rPr>
          <w:b/>
        </w:rPr>
        <w:t>porodiljni</w:t>
      </w:r>
      <w:proofErr w:type="spellEnd"/>
      <w:r w:rsidRPr="004D07CA">
        <w:rPr>
          <w:b/>
        </w:rPr>
        <w:t xml:space="preserve"> dopust</w:t>
      </w:r>
      <w:r w:rsidRPr="004D07CA">
        <w:t xml:space="preserve"> </w:t>
      </w:r>
      <w:r w:rsidRPr="004D07CA">
        <w:rPr>
          <w:b/>
        </w:rPr>
        <w:t>i opremu za novorođeno dijete</w:t>
      </w:r>
      <w:r w:rsidRPr="004D07CA">
        <w:t xml:space="preserve"> u 2019. godini izdvojen je iznos od 1,6 milijardi kuna, što je u odnosu na prethodnu godinu povećanje u iznosu od 50,5 milijuna kuna ili 3,</w:t>
      </w:r>
      <w:proofErr w:type="spellStart"/>
      <w:r w:rsidRPr="004D07CA">
        <w:t>3</w:t>
      </w:r>
      <w:proofErr w:type="spellEnd"/>
      <w:r w:rsidRPr="004D07CA">
        <w:t xml:space="preserve">%. </w:t>
      </w:r>
    </w:p>
    <w:p w:rsidR="00CD1CE4" w:rsidRPr="004D07CA" w:rsidRDefault="00CD1CE4" w:rsidP="002D7A1F">
      <w:pPr>
        <w:jc w:val="both"/>
        <w:rPr>
          <w:highlight w:val="yellow"/>
        </w:rPr>
      </w:pPr>
    </w:p>
    <w:p w:rsidR="00CD1CE4" w:rsidRPr="002B20D7" w:rsidRDefault="00CD1CE4" w:rsidP="002D7A1F">
      <w:pPr>
        <w:jc w:val="both"/>
        <w:rPr>
          <w:b/>
        </w:rPr>
      </w:pPr>
      <w:r w:rsidRPr="002B20D7">
        <w:rPr>
          <w:b/>
        </w:rPr>
        <w:t xml:space="preserve">Ostali rashodi </w:t>
      </w:r>
    </w:p>
    <w:p w:rsidR="00CD1CE4" w:rsidRPr="004D07CA" w:rsidRDefault="00CD1CE4" w:rsidP="002D7A1F">
      <w:pPr>
        <w:jc w:val="both"/>
        <w:rPr>
          <w:b/>
          <w:i/>
        </w:rPr>
      </w:pPr>
    </w:p>
    <w:p w:rsidR="00CD1CE4" w:rsidRDefault="00CD1CE4" w:rsidP="002D7A1F">
      <w:pPr>
        <w:jc w:val="both"/>
        <w:rPr>
          <w:highlight w:val="yellow"/>
        </w:rPr>
      </w:pPr>
      <w:r w:rsidRPr="004D07CA">
        <w:t>U 2019.</w:t>
      </w:r>
      <w:r>
        <w:t xml:space="preserve"> godini</w:t>
      </w:r>
      <w:r w:rsidRPr="004D07CA">
        <w:t xml:space="preserve"> ostali rashodi izvršeni su u iznosu od 8,2 milijarde kuna što čini 95,7% planiranih sredstava za 2019. godinu. U odnosu na izvršenje prethodne godine ostali rashodi povećani su za 21,5</w:t>
      </w:r>
      <w:r>
        <w:t xml:space="preserve">% odnosno za 1,4 milijarde kuna, </w:t>
      </w:r>
      <w:r w:rsidRPr="00C374F5">
        <w:t xml:space="preserve">od čega se </w:t>
      </w:r>
      <w:r>
        <w:t>720,7</w:t>
      </w:r>
      <w:r w:rsidRPr="00C374F5">
        <w:t xml:space="preserve"> milijuna kuna odnosi na povećanje </w:t>
      </w:r>
      <w:r>
        <w:t>ostalih rashoda</w:t>
      </w:r>
      <w:r w:rsidRPr="00C374F5">
        <w:t xml:space="preserve"> financiranih iz fondova Europske unije.</w:t>
      </w:r>
    </w:p>
    <w:p w:rsidR="00CD1CE4" w:rsidRPr="004D07CA" w:rsidRDefault="00CD1CE4" w:rsidP="002D7A1F">
      <w:pPr>
        <w:jc w:val="both"/>
        <w:rPr>
          <w:highlight w:val="yellow"/>
        </w:rPr>
      </w:pPr>
    </w:p>
    <w:p w:rsidR="00CD1CE4" w:rsidRPr="004D07CA" w:rsidRDefault="00CD1CE4" w:rsidP="002D7A1F">
      <w:pPr>
        <w:jc w:val="both"/>
      </w:pPr>
      <w:r w:rsidRPr="004D07CA">
        <w:t xml:space="preserve">Najznačajniji ostali rashodi u 2019. godini izvršeni su u okviru razdjela Ministarstva mora, prometa i infrastrukture i to 2,7 milijardi kuna, od čega je za transfer Hrvatskim autocestama d.o.o. i HŽ Infrastrukturi d.o.o. za dio pripadajuće naknade u cijeni goriva izdvojeno 983,0 milijuna kuna, a za program razvoja sustava pomorskog prometa, pomorskog dobra i luka te zaštitu okoliša od onečišćenja s pomorskih objekata izdvojeno je 409,4 milijuna kuna. </w:t>
      </w:r>
    </w:p>
    <w:p w:rsidR="00CD1CE4" w:rsidRPr="004D07CA" w:rsidRDefault="00CD1CE4" w:rsidP="002D7A1F">
      <w:pPr>
        <w:jc w:val="both"/>
      </w:pPr>
      <w:r w:rsidRPr="004D07CA">
        <w:t>Za program Priprema i provedba projekata sufinanciranih sredstvima fondova Europske unije (OP Konkurentnost i kohezija, prioritetna os 7. povezanost i mobilnost) u 2019. godini utrošeno je 1,</w:t>
      </w:r>
      <w:proofErr w:type="spellStart"/>
      <w:r w:rsidRPr="004D07CA">
        <w:t>1</w:t>
      </w:r>
      <w:proofErr w:type="spellEnd"/>
      <w:r w:rsidRPr="004D07CA">
        <w:t xml:space="preserve"> milijarda kuna, od čega najviše za Zračnu luku Dubrovnik</w:t>
      </w:r>
      <w:r>
        <w:t xml:space="preserve">, </w:t>
      </w:r>
      <w:r w:rsidRPr="004D07CA">
        <w:t>rekonstrukciju, izgradnju, održavanje, modernizaciju i elek</w:t>
      </w:r>
      <w:r>
        <w:t>trifikaciju željezničkih pruga i ostalo. Od ukupno</w:t>
      </w:r>
      <w:r w:rsidRPr="004D07CA">
        <w:t xml:space="preserve"> izvršenih rashoda za program Priprema i provedba projekata sufinanciranih sredstvima fondova Europske unije, iz Kohezijskog </w:t>
      </w:r>
      <w:r>
        <w:t>f</w:t>
      </w:r>
      <w:r w:rsidRPr="004D07CA">
        <w:t>onda financirano je 982,0 milijuna kuna, dok je 172,5 milijuna kuna  financirano iz nacionalnih sredstava.</w:t>
      </w:r>
    </w:p>
    <w:p w:rsidR="00CD1CE4" w:rsidRPr="004D07CA" w:rsidRDefault="00CD1CE4" w:rsidP="002D7A1F">
      <w:pPr>
        <w:jc w:val="both"/>
        <w:rPr>
          <w:highlight w:val="yellow"/>
        </w:rPr>
      </w:pPr>
    </w:p>
    <w:p w:rsidR="00CD1CE4" w:rsidRPr="004D07CA" w:rsidRDefault="00CD1CE4" w:rsidP="002D7A1F">
      <w:pPr>
        <w:jc w:val="both"/>
      </w:pPr>
      <w:r w:rsidRPr="004D07CA">
        <w:t xml:space="preserve">U razdjelu Ministarstva poljoprivrede ostali rashodi izvršeni su u iznosu od 1,4 milijarde kuna od čega se najznačajnija sredstva odnose na mjere ruralnog razvoja i program ribarstva. Za </w:t>
      </w:r>
      <w:r w:rsidRPr="004D07CA">
        <w:lastRenderedPageBreak/>
        <w:t>mjere ruralnog razvoja izdvojeno je 1,</w:t>
      </w:r>
      <w:proofErr w:type="spellStart"/>
      <w:r w:rsidRPr="004D07CA">
        <w:t>1</w:t>
      </w:r>
      <w:proofErr w:type="spellEnd"/>
      <w:r w:rsidRPr="004D07CA">
        <w:t xml:space="preserve"> milijarda kuna, od čega je 938,9 milijuna kuna financirano iz fondova Europske unije, dok je 182,2 milijuna kuna financirano iz nacionalnih sredstava. Program ruralnog razvoja, osim na ovoj skupini rashoda, planira se i izvršava i na ostalim skupinama rashoda. Za isti je u 2019. godini ukupno izdvoje</w:t>
      </w:r>
      <w:r>
        <w:t>no 2,5 milijardi kuna (od čega se 2,1 milijarda</w:t>
      </w:r>
      <w:r w:rsidRPr="004D07CA">
        <w:t xml:space="preserve"> kuna financira iz fondova Europske unije), što je za 17,5% više u odnosu na 2018. godinu.</w:t>
      </w:r>
      <w:r>
        <w:t xml:space="preserve"> Za program ribarstva, unutar ove skupine rashoda, izvršeno je 154,0 milijuna kuna, od čega je 106,8 milijuna kuna financirano iz </w:t>
      </w:r>
      <w:r w:rsidRPr="00192552">
        <w:t>fondova Europske unije</w:t>
      </w:r>
      <w:r>
        <w:t>. Također, program ribarstva izvršava se i unutar drugih skupina rashoda te je u 2019. godini za cijeli program izdvojeno 247,6 milijuna kuna.</w:t>
      </w:r>
    </w:p>
    <w:p w:rsidR="00CD1CE4" w:rsidRPr="004D07CA" w:rsidRDefault="00CD1CE4" w:rsidP="002D7A1F">
      <w:pPr>
        <w:jc w:val="both"/>
        <w:rPr>
          <w:highlight w:val="yellow"/>
        </w:rPr>
      </w:pPr>
    </w:p>
    <w:p w:rsidR="00CD1CE4" w:rsidRDefault="00CD1CE4" w:rsidP="002D7A1F">
      <w:pPr>
        <w:jc w:val="both"/>
        <w:rPr>
          <w:highlight w:val="yellow"/>
        </w:rPr>
      </w:pPr>
      <w:r w:rsidRPr="004D07CA">
        <w:t xml:space="preserve">Na pozicijama Ministarstva gospodarstva, poduzetništva i obrta unutar ove kategorije rashoda izvršeno je 617,3 milijuna kuna, od čega najviše u okviru tekućeg projekta OP </w:t>
      </w:r>
      <w:r>
        <w:t>K</w:t>
      </w:r>
      <w:r w:rsidRPr="004D07CA">
        <w:t xml:space="preserve">onkurentnost i kohezija 2014.-2020. kojim su dodijeljena bespovratna sredstava obrtnicima, mikro, malim, srednjim i velikim poduzetnicima u iznosu od 596,8 milijuna kuna. </w:t>
      </w:r>
    </w:p>
    <w:p w:rsidR="00CD1CE4" w:rsidRPr="004D07CA" w:rsidRDefault="00CD1CE4" w:rsidP="002D7A1F">
      <w:pPr>
        <w:jc w:val="both"/>
        <w:rPr>
          <w:highlight w:val="yellow"/>
        </w:rPr>
      </w:pPr>
    </w:p>
    <w:p w:rsidR="00CD1CE4" w:rsidRPr="004D07CA" w:rsidRDefault="00CD1CE4" w:rsidP="002D7A1F">
      <w:pPr>
        <w:jc w:val="both"/>
      </w:pPr>
      <w:r w:rsidRPr="004D07CA">
        <w:t>Na pozicijama Ministarstva znanosti i obrazovanja unutar ove kategorije rashoda izvršeno je 591,4 milijuna kuna, od čega 219,2 milijuna kuna za program visokog obrazovanja u okviru kojeg se financiraju smještaj i prehrana studenata i podizanje studentskog standarda, za program ulaganja u znanstveno istraživačku djelatnost 160,8 milijuna kuna te za program razvoj odgojno obrazovnog sustava 107,5 milijuna kuna.</w:t>
      </w:r>
    </w:p>
    <w:p w:rsidR="00CD1CE4" w:rsidRPr="004D07CA" w:rsidRDefault="00CD1CE4" w:rsidP="002D7A1F">
      <w:pPr>
        <w:jc w:val="both"/>
      </w:pPr>
    </w:p>
    <w:p w:rsidR="00CD1CE4" w:rsidRPr="004D07CA" w:rsidRDefault="00CD1CE4" w:rsidP="002D7A1F">
      <w:pPr>
        <w:jc w:val="both"/>
      </w:pPr>
      <w:r w:rsidRPr="004D07CA">
        <w:t>Na pozicijama Ministarstva zaštite okoliša i energetike unutar ove kategorije rashoda izvršeno je 502,3 milijuna kuna, od čega 350,0 milijuna kuna za financiranje prve faze projekta plutajućeg terminala za ukapljeni prirodni plin na otoku Krku te 134,8 milijuna kuna na projekte energetske učinkovitosti u industriji te sektoru turizma i trgovine koji su u cijelosti financirani iz fonda Europske unije.</w:t>
      </w:r>
    </w:p>
    <w:p w:rsidR="00CD1CE4" w:rsidRPr="004D07CA" w:rsidRDefault="00CD1CE4" w:rsidP="002D7A1F">
      <w:pPr>
        <w:jc w:val="both"/>
      </w:pPr>
    </w:p>
    <w:p w:rsidR="00CD1CE4" w:rsidRPr="004D07CA" w:rsidRDefault="00CD1CE4" w:rsidP="002D7A1F">
      <w:pPr>
        <w:jc w:val="both"/>
      </w:pPr>
      <w:r w:rsidRPr="004D07CA">
        <w:t>Nadalje, na pozicijama Ministarstva graditeljstva i prostornoga uređenja</w:t>
      </w:r>
      <w:r>
        <w:t>,</w:t>
      </w:r>
      <w:r w:rsidRPr="004D07CA">
        <w:t xml:space="preserve"> za energetsku učinkovitost u </w:t>
      </w:r>
      <w:proofErr w:type="spellStart"/>
      <w:r w:rsidRPr="004D07CA">
        <w:t>zgradarstvu</w:t>
      </w:r>
      <w:proofErr w:type="spellEnd"/>
      <w:r w:rsidRPr="004D07CA">
        <w:t xml:space="preserve"> utrošeno je 217,0 milijuna kuna i projekti su u cijelosti financirani iz Europskog fonda za regionalni razvoj.</w:t>
      </w:r>
    </w:p>
    <w:p w:rsidR="00CD1CE4" w:rsidRPr="004D07CA" w:rsidRDefault="00CD1CE4" w:rsidP="002D7A1F">
      <w:pPr>
        <w:jc w:val="both"/>
      </w:pPr>
    </w:p>
    <w:p w:rsidR="00CD1CE4" w:rsidRDefault="00CD1CE4" w:rsidP="002D7A1F">
      <w:pPr>
        <w:jc w:val="both"/>
      </w:pPr>
      <w:r w:rsidRPr="004D07CA">
        <w:t xml:space="preserve">Za razvoj športa u 2019. godini izdvojeno je 239,4 milijuna kuna, dok je za promociju turizma te poticanje razvoja turizma izdvojeno 88,8 milijuna kuna. </w:t>
      </w:r>
    </w:p>
    <w:p w:rsidR="00CD1CE4" w:rsidRPr="004D07CA" w:rsidRDefault="00CD1CE4" w:rsidP="002D7A1F">
      <w:pPr>
        <w:jc w:val="both"/>
      </w:pPr>
    </w:p>
    <w:p w:rsidR="00CD1CE4" w:rsidRPr="004D07CA" w:rsidRDefault="00CD1CE4" w:rsidP="002D7A1F">
      <w:pPr>
        <w:jc w:val="both"/>
      </w:pPr>
      <w:r w:rsidRPr="004D07CA">
        <w:t xml:space="preserve">Iz fondova Europske unije ostali rashodi financirani su u iznosu od 3,5 milijardi kuna što je 25,8% više u odnosu na </w:t>
      </w:r>
      <w:r>
        <w:t>2018.</w:t>
      </w:r>
      <w:r w:rsidRPr="004D07CA">
        <w:t xml:space="preserve"> godinu.</w:t>
      </w:r>
    </w:p>
    <w:p w:rsidR="00CD1CE4" w:rsidRPr="004D07CA" w:rsidRDefault="00CD1CE4" w:rsidP="002D7A1F">
      <w:pPr>
        <w:jc w:val="both"/>
        <w:rPr>
          <w:b/>
          <w:i/>
          <w:highlight w:val="yellow"/>
        </w:rPr>
      </w:pPr>
    </w:p>
    <w:p w:rsidR="00CD1CE4" w:rsidRPr="002B20D7" w:rsidRDefault="00CD1CE4" w:rsidP="002D7A1F">
      <w:pPr>
        <w:jc w:val="both"/>
        <w:rPr>
          <w:b/>
        </w:rPr>
      </w:pPr>
      <w:r w:rsidRPr="002B20D7">
        <w:rPr>
          <w:b/>
        </w:rPr>
        <w:t xml:space="preserve">Rashodi za nabavu nefinancijske imovine </w:t>
      </w:r>
    </w:p>
    <w:p w:rsidR="00CD1CE4" w:rsidRPr="004D07CA" w:rsidRDefault="00CD1CE4" w:rsidP="002D7A1F">
      <w:pPr>
        <w:jc w:val="both"/>
        <w:rPr>
          <w:b/>
          <w:i/>
        </w:rPr>
      </w:pPr>
    </w:p>
    <w:p w:rsidR="00CD1CE4" w:rsidRDefault="00CD1CE4" w:rsidP="002D7A1F">
      <w:pPr>
        <w:jc w:val="both"/>
      </w:pPr>
      <w:r w:rsidRPr="004D07CA">
        <w:t>Ukupni rashodi za nabavu nefinancijske imovine u 2019. godini izvršeni su u iznosu od 4,0 milijarde kuna, odnosno 89,7% planiranih sredstava</w:t>
      </w:r>
      <w:r>
        <w:t xml:space="preserve">. </w:t>
      </w:r>
      <w:r w:rsidRPr="004D07CA">
        <w:t xml:space="preserve">U odnosu na izvršenje prethodne godine rashodi za nabavu nefinancijske imovine povećani su za 45,8%, odnosno 1,2 milijarde kuna, od čega se 502,0 milijuna kuna odnosi na povećanje rashoda za nabavu nefinancijske imovine financiranih iz fondova Europske unije. </w:t>
      </w:r>
    </w:p>
    <w:p w:rsidR="00CD1CE4" w:rsidRPr="004D07CA" w:rsidRDefault="00CD1CE4" w:rsidP="002D7A1F">
      <w:pPr>
        <w:jc w:val="both"/>
      </w:pPr>
    </w:p>
    <w:p w:rsidR="00CD1CE4" w:rsidRPr="004D07CA" w:rsidRDefault="00CD1CE4" w:rsidP="002D7A1F">
      <w:pPr>
        <w:jc w:val="both"/>
      </w:pPr>
      <w:r w:rsidRPr="004D07CA">
        <w:t>Unutar ove kategorije rashoda, najznačajniji iznos od 3,0 milijarde kuna odnosi se na rashode za nabavu proizvedene dugotrajne imovine, od čega za rashode za postrojenje i opremu 1,8 milijardi</w:t>
      </w:r>
      <w:r>
        <w:t xml:space="preserve"> kuna </w:t>
      </w:r>
      <w:r w:rsidRPr="004D07CA">
        <w:t>te za rashode za građevinske objekte 815,8 milijuna kuna</w:t>
      </w:r>
      <w:r>
        <w:t>.</w:t>
      </w:r>
      <w:r w:rsidRPr="004D07CA">
        <w:t xml:space="preserve"> Rashodi za dodatna ulaganja u nefinancijsku imovinu izvršeni su u iznosu od 473,2 milijuna kuna i to prvenstveno </w:t>
      </w:r>
      <w:r w:rsidRPr="004D07CA">
        <w:lastRenderedPageBreak/>
        <w:t>za dodatna ulaganja na građevinskim objektima proračunskih korisnika</w:t>
      </w:r>
      <w:r>
        <w:t>,</w:t>
      </w:r>
      <w:r w:rsidRPr="004D07CA">
        <w:t xml:space="preserve"> dok je za strateške zalihe izdvojeno 381,6 milijuna </w:t>
      </w:r>
      <w:r>
        <w:t>kuna.</w:t>
      </w:r>
    </w:p>
    <w:p w:rsidR="00CD1CE4" w:rsidRPr="004D07CA" w:rsidRDefault="00CD1CE4" w:rsidP="002D7A1F">
      <w:pPr>
        <w:jc w:val="both"/>
      </w:pPr>
    </w:p>
    <w:p w:rsidR="00CD1CE4" w:rsidRDefault="00CD1CE4" w:rsidP="002D7A1F">
      <w:pPr>
        <w:jc w:val="both"/>
        <w:rPr>
          <w:highlight w:val="yellow"/>
        </w:rPr>
      </w:pPr>
      <w:r w:rsidRPr="004D07CA">
        <w:t>Od ukupno izvršenih rashoda za nabavu nefinancijske imovine u 2019.</w:t>
      </w:r>
      <w:r>
        <w:t xml:space="preserve"> godini</w:t>
      </w:r>
      <w:r w:rsidRPr="004D07CA">
        <w:t>, iz fondova Europske unije financirana je 1</w:t>
      </w:r>
      <w:r>
        <w:t>,0</w:t>
      </w:r>
      <w:r w:rsidRPr="004D07CA">
        <w:t xml:space="preserve"> milijarda kuna i to 786,9 milijuna kuna iz Europskog fonda za regionalni razvoj te 140,6 milijuna kuna iz Fonda za unutarnje poslove</w:t>
      </w:r>
      <w:r>
        <w:t>.</w:t>
      </w:r>
      <w:r w:rsidRPr="004D07CA">
        <w:t xml:space="preserve"> </w:t>
      </w:r>
    </w:p>
    <w:p w:rsidR="00CD1CE4" w:rsidRPr="002B4320" w:rsidRDefault="00CD1CE4" w:rsidP="002D7A1F">
      <w:pPr>
        <w:jc w:val="both"/>
        <w:rPr>
          <w:highlight w:val="yellow"/>
        </w:rPr>
      </w:pPr>
    </w:p>
    <w:p w:rsidR="00CD1CE4" w:rsidRDefault="00CD1CE4" w:rsidP="002D7A1F">
      <w:pPr>
        <w:jc w:val="both"/>
        <w:outlineLvl w:val="0"/>
        <w:rPr>
          <w:b/>
          <w:bCs/>
        </w:rPr>
      </w:pPr>
      <w:r w:rsidRPr="00BE0261">
        <w:rPr>
          <w:b/>
          <w:bCs/>
        </w:rPr>
        <w:t>Rashodi po izvorima financiranja</w:t>
      </w:r>
    </w:p>
    <w:p w:rsidR="00CD1CE4" w:rsidRPr="00BE0261" w:rsidRDefault="00CD1CE4" w:rsidP="002D7A1F">
      <w:pPr>
        <w:jc w:val="both"/>
        <w:rPr>
          <w:b/>
        </w:rPr>
      </w:pPr>
    </w:p>
    <w:p w:rsidR="00CD1CE4" w:rsidRPr="002D7A1F" w:rsidRDefault="00CD1CE4" w:rsidP="002D7A1F">
      <w:pPr>
        <w:jc w:val="both"/>
        <w:rPr>
          <w:i/>
        </w:rPr>
      </w:pPr>
      <w:r w:rsidRPr="002D7A1F">
        <w:rPr>
          <w:i/>
        </w:rPr>
        <w:t>Tablica 1</w:t>
      </w:r>
      <w:r w:rsidR="002D7A1F">
        <w:rPr>
          <w:i/>
        </w:rPr>
        <w:t>0</w:t>
      </w:r>
      <w:r w:rsidRPr="002D7A1F">
        <w:rPr>
          <w:i/>
        </w:rPr>
        <w:t>. Izvršenje rashoda po izvorima financiranja</w:t>
      </w:r>
    </w:p>
    <w:tbl>
      <w:tblPr>
        <w:tblW w:w="8492" w:type="dxa"/>
        <w:tblInd w:w="113" w:type="dxa"/>
        <w:tblLook w:val="04A0" w:firstRow="1" w:lastRow="0" w:firstColumn="1" w:lastColumn="0" w:noHBand="0" w:noVBand="1"/>
      </w:tblPr>
      <w:tblGrid>
        <w:gridCol w:w="855"/>
        <w:gridCol w:w="5406"/>
        <w:gridCol w:w="2231"/>
      </w:tblGrid>
      <w:tr w:rsidR="00CD1CE4" w:rsidTr="00BF25F0">
        <w:trPr>
          <w:trHeight w:val="714"/>
        </w:trPr>
        <w:tc>
          <w:tcPr>
            <w:tcW w:w="6261" w:type="dxa"/>
            <w:gridSpan w:val="2"/>
            <w:vMerge w:val="restart"/>
            <w:tcBorders>
              <w:top w:val="single" w:sz="4" w:space="0" w:color="848484"/>
              <w:left w:val="single" w:sz="4" w:space="0" w:color="848484"/>
              <w:bottom w:val="single" w:sz="4" w:space="0" w:color="848484"/>
              <w:right w:val="single" w:sz="4" w:space="0" w:color="848484"/>
            </w:tcBorders>
            <w:shd w:val="clear" w:color="000000" w:fill="D9D9D9"/>
            <w:noWrap/>
            <w:vAlign w:val="center"/>
            <w:hideMark/>
          </w:tcPr>
          <w:p w:rsidR="00CD1CE4" w:rsidRPr="00621592" w:rsidRDefault="00CD1CE4" w:rsidP="002D7A1F">
            <w:pPr>
              <w:jc w:val="center"/>
              <w:rPr>
                <w:b/>
                <w:bCs/>
                <w:sz w:val="22"/>
                <w:szCs w:val="22"/>
              </w:rPr>
            </w:pPr>
            <w:bookmarkStart w:id="7" w:name="RANGE!G15:I25"/>
            <w:r w:rsidRPr="00621592">
              <w:rPr>
                <w:b/>
                <w:bCs/>
                <w:sz w:val="22"/>
                <w:szCs w:val="22"/>
              </w:rPr>
              <w:t>Izvor sredstava (u kunama)</w:t>
            </w:r>
            <w:bookmarkEnd w:id="7"/>
          </w:p>
        </w:tc>
        <w:tc>
          <w:tcPr>
            <w:tcW w:w="2231" w:type="dxa"/>
            <w:vMerge w:val="restart"/>
            <w:tcBorders>
              <w:top w:val="single" w:sz="4" w:space="0" w:color="848484"/>
              <w:left w:val="single" w:sz="4" w:space="0" w:color="848484"/>
              <w:bottom w:val="single" w:sz="4" w:space="0" w:color="848484"/>
              <w:right w:val="single" w:sz="4" w:space="0" w:color="848484"/>
            </w:tcBorders>
            <w:shd w:val="clear" w:color="000000" w:fill="D9D9D9"/>
            <w:vAlign w:val="bottom"/>
            <w:hideMark/>
          </w:tcPr>
          <w:p w:rsidR="00CD1CE4" w:rsidRPr="00621592" w:rsidRDefault="00CD1CE4" w:rsidP="002D7A1F">
            <w:pPr>
              <w:jc w:val="center"/>
              <w:rPr>
                <w:b/>
                <w:bCs/>
                <w:sz w:val="22"/>
                <w:szCs w:val="22"/>
              </w:rPr>
            </w:pPr>
            <w:r w:rsidRPr="00621592">
              <w:rPr>
                <w:b/>
                <w:bCs/>
                <w:sz w:val="22"/>
                <w:szCs w:val="22"/>
              </w:rPr>
              <w:t>Izvršenje</w:t>
            </w:r>
            <w:r w:rsidRPr="00621592">
              <w:rPr>
                <w:b/>
                <w:bCs/>
                <w:sz w:val="22"/>
                <w:szCs w:val="22"/>
              </w:rPr>
              <w:br/>
              <w:t>2019.</w:t>
            </w:r>
          </w:p>
        </w:tc>
      </w:tr>
      <w:tr w:rsidR="00CD1CE4" w:rsidTr="00BF25F0">
        <w:trPr>
          <w:trHeight w:val="253"/>
        </w:trPr>
        <w:tc>
          <w:tcPr>
            <w:tcW w:w="6261" w:type="dxa"/>
            <w:gridSpan w:val="2"/>
            <w:vMerge/>
            <w:tcBorders>
              <w:top w:val="single" w:sz="4" w:space="0" w:color="848484"/>
              <w:left w:val="single" w:sz="4" w:space="0" w:color="848484"/>
              <w:bottom w:val="single" w:sz="4" w:space="0" w:color="848484"/>
              <w:right w:val="single" w:sz="4" w:space="0" w:color="848484"/>
            </w:tcBorders>
            <w:vAlign w:val="center"/>
            <w:hideMark/>
          </w:tcPr>
          <w:p w:rsidR="00CD1CE4" w:rsidRPr="00621592" w:rsidRDefault="00CD1CE4" w:rsidP="002D7A1F">
            <w:pPr>
              <w:rPr>
                <w:b/>
                <w:bCs/>
                <w:sz w:val="22"/>
                <w:szCs w:val="22"/>
              </w:rPr>
            </w:pPr>
          </w:p>
        </w:tc>
        <w:tc>
          <w:tcPr>
            <w:tcW w:w="2231" w:type="dxa"/>
            <w:vMerge/>
            <w:tcBorders>
              <w:top w:val="single" w:sz="4" w:space="0" w:color="848484"/>
              <w:left w:val="single" w:sz="4" w:space="0" w:color="848484"/>
              <w:bottom w:val="single" w:sz="4" w:space="0" w:color="848484"/>
              <w:right w:val="single" w:sz="4" w:space="0" w:color="848484"/>
            </w:tcBorders>
            <w:vAlign w:val="center"/>
            <w:hideMark/>
          </w:tcPr>
          <w:p w:rsidR="00CD1CE4" w:rsidRPr="00621592" w:rsidRDefault="00CD1CE4" w:rsidP="002D7A1F">
            <w:pPr>
              <w:rPr>
                <w:b/>
                <w:bCs/>
                <w:sz w:val="22"/>
                <w:szCs w:val="22"/>
              </w:rPr>
            </w:pPr>
          </w:p>
        </w:tc>
      </w:tr>
      <w:tr w:rsidR="00CD1CE4" w:rsidTr="00BF25F0">
        <w:trPr>
          <w:trHeight w:val="363"/>
        </w:trPr>
        <w:tc>
          <w:tcPr>
            <w:tcW w:w="6261" w:type="dxa"/>
            <w:gridSpan w:val="2"/>
            <w:tcBorders>
              <w:top w:val="single" w:sz="4" w:space="0" w:color="848484"/>
              <w:left w:val="single" w:sz="4" w:space="0" w:color="848484"/>
              <w:bottom w:val="single" w:sz="4" w:space="0" w:color="848484"/>
              <w:right w:val="single" w:sz="4" w:space="0" w:color="848484"/>
            </w:tcBorders>
            <w:shd w:val="clear" w:color="000000" w:fill="C5D9F1"/>
            <w:noWrap/>
            <w:vAlign w:val="center"/>
            <w:hideMark/>
          </w:tcPr>
          <w:p w:rsidR="00CD1CE4" w:rsidRPr="00621592" w:rsidRDefault="00CD1CE4" w:rsidP="002D7A1F">
            <w:pPr>
              <w:jc w:val="center"/>
              <w:rPr>
                <w:b/>
                <w:bCs/>
                <w:sz w:val="22"/>
                <w:szCs w:val="22"/>
              </w:rPr>
            </w:pPr>
            <w:r w:rsidRPr="00621592">
              <w:rPr>
                <w:b/>
                <w:bCs/>
                <w:sz w:val="22"/>
                <w:szCs w:val="22"/>
              </w:rPr>
              <w:t>UKUPNO</w:t>
            </w:r>
          </w:p>
        </w:tc>
        <w:tc>
          <w:tcPr>
            <w:tcW w:w="2231" w:type="dxa"/>
            <w:tcBorders>
              <w:top w:val="nil"/>
              <w:left w:val="nil"/>
              <w:bottom w:val="single" w:sz="4" w:space="0" w:color="848484"/>
              <w:right w:val="single" w:sz="4" w:space="0" w:color="848484"/>
            </w:tcBorders>
            <w:shd w:val="clear" w:color="000000" w:fill="C5D9F1"/>
            <w:noWrap/>
            <w:vAlign w:val="center"/>
            <w:hideMark/>
          </w:tcPr>
          <w:p w:rsidR="00CD1CE4" w:rsidRPr="00621592" w:rsidRDefault="00CD1CE4" w:rsidP="002D7A1F">
            <w:pPr>
              <w:jc w:val="right"/>
              <w:rPr>
                <w:b/>
                <w:bCs/>
                <w:sz w:val="22"/>
                <w:szCs w:val="22"/>
              </w:rPr>
            </w:pPr>
            <w:r w:rsidRPr="00621592">
              <w:rPr>
                <w:b/>
                <w:bCs/>
                <w:sz w:val="22"/>
                <w:szCs w:val="22"/>
              </w:rPr>
              <w:t>139.870.063.863,99</w:t>
            </w:r>
          </w:p>
        </w:tc>
      </w:tr>
      <w:tr w:rsidR="00CD1CE4" w:rsidTr="00BF25F0">
        <w:trPr>
          <w:trHeight w:val="238"/>
        </w:trPr>
        <w:tc>
          <w:tcPr>
            <w:tcW w:w="855" w:type="dxa"/>
            <w:tcBorders>
              <w:top w:val="nil"/>
              <w:left w:val="single" w:sz="4" w:space="0" w:color="848484"/>
              <w:bottom w:val="single" w:sz="4" w:space="0" w:color="848484"/>
              <w:right w:val="single" w:sz="4" w:space="0" w:color="848484"/>
            </w:tcBorders>
            <w:shd w:val="clear" w:color="auto" w:fill="auto"/>
            <w:noWrap/>
            <w:vAlign w:val="center"/>
            <w:hideMark/>
          </w:tcPr>
          <w:p w:rsidR="00CD1CE4" w:rsidRPr="00621592" w:rsidRDefault="00CD1CE4" w:rsidP="002D7A1F">
            <w:pPr>
              <w:ind w:firstLineChars="200" w:firstLine="440"/>
              <w:rPr>
                <w:sz w:val="22"/>
                <w:szCs w:val="22"/>
              </w:rPr>
            </w:pPr>
            <w:r w:rsidRPr="00621592">
              <w:rPr>
                <w:sz w:val="22"/>
                <w:szCs w:val="22"/>
              </w:rPr>
              <w:t>1</w:t>
            </w:r>
          </w:p>
        </w:tc>
        <w:tc>
          <w:tcPr>
            <w:tcW w:w="5406" w:type="dxa"/>
            <w:tcBorders>
              <w:top w:val="nil"/>
              <w:left w:val="nil"/>
              <w:bottom w:val="single" w:sz="4" w:space="0" w:color="848484"/>
              <w:right w:val="single" w:sz="4" w:space="0" w:color="848484"/>
            </w:tcBorders>
            <w:shd w:val="clear" w:color="auto" w:fill="auto"/>
            <w:vAlign w:val="center"/>
            <w:hideMark/>
          </w:tcPr>
          <w:p w:rsidR="00CD1CE4" w:rsidRPr="00621592" w:rsidRDefault="00CD1CE4" w:rsidP="002D7A1F">
            <w:pPr>
              <w:rPr>
                <w:sz w:val="22"/>
                <w:szCs w:val="22"/>
              </w:rPr>
            </w:pPr>
            <w:r w:rsidRPr="00621592">
              <w:rPr>
                <w:sz w:val="22"/>
                <w:szCs w:val="22"/>
              </w:rPr>
              <w:t>Opći prihodi i primici</w:t>
            </w:r>
          </w:p>
        </w:tc>
        <w:tc>
          <w:tcPr>
            <w:tcW w:w="2231" w:type="dxa"/>
            <w:tcBorders>
              <w:top w:val="nil"/>
              <w:left w:val="nil"/>
              <w:bottom w:val="single" w:sz="4" w:space="0" w:color="848484"/>
              <w:right w:val="single" w:sz="4" w:space="0" w:color="848484"/>
            </w:tcBorders>
            <w:shd w:val="clear" w:color="auto" w:fill="auto"/>
            <w:noWrap/>
            <w:vAlign w:val="center"/>
            <w:hideMark/>
          </w:tcPr>
          <w:p w:rsidR="00CD1CE4" w:rsidRPr="00621592" w:rsidRDefault="00CD1CE4" w:rsidP="002D7A1F">
            <w:pPr>
              <w:jc w:val="right"/>
              <w:rPr>
                <w:sz w:val="22"/>
                <w:szCs w:val="22"/>
              </w:rPr>
            </w:pPr>
            <w:r w:rsidRPr="00621592">
              <w:rPr>
                <w:sz w:val="22"/>
                <w:szCs w:val="22"/>
              </w:rPr>
              <w:t>88.705.225.237,72</w:t>
            </w:r>
          </w:p>
        </w:tc>
      </w:tr>
      <w:tr w:rsidR="00CD1CE4" w:rsidTr="00BF25F0">
        <w:trPr>
          <w:trHeight w:val="238"/>
        </w:trPr>
        <w:tc>
          <w:tcPr>
            <w:tcW w:w="855" w:type="dxa"/>
            <w:tcBorders>
              <w:top w:val="nil"/>
              <w:left w:val="single" w:sz="4" w:space="0" w:color="848484"/>
              <w:bottom w:val="single" w:sz="4" w:space="0" w:color="848484"/>
              <w:right w:val="single" w:sz="4" w:space="0" w:color="848484"/>
            </w:tcBorders>
            <w:shd w:val="clear" w:color="auto" w:fill="auto"/>
            <w:noWrap/>
            <w:vAlign w:val="center"/>
            <w:hideMark/>
          </w:tcPr>
          <w:p w:rsidR="00CD1CE4" w:rsidRPr="00621592" w:rsidRDefault="00CD1CE4" w:rsidP="002D7A1F">
            <w:pPr>
              <w:ind w:firstLineChars="200" w:firstLine="440"/>
              <w:rPr>
                <w:sz w:val="22"/>
                <w:szCs w:val="22"/>
              </w:rPr>
            </w:pPr>
            <w:r w:rsidRPr="00621592">
              <w:rPr>
                <w:sz w:val="22"/>
                <w:szCs w:val="22"/>
              </w:rPr>
              <w:t>2</w:t>
            </w:r>
          </w:p>
        </w:tc>
        <w:tc>
          <w:tcPr>
            <w:tcW w:w="5406" w:type="dxa"/>
            <w:tcBorders>
              <w:top w:val="nil"/>
              <w:left w:val="nil"/>
              <w:bottom w:val="single" w:sz="4" w:space="0" w:color="848484"/>
              <w:right w:val="single" w:sz="4" w:space="0" w:color="848484"/>
            </w:tcBorders>
            <w:shd w:val="clear" w:color="auto" w:fill="auto"/>
            <w:vAlign w:val="center"/>
            <w:hideMark/>
          </w:tcPr>
          <w:p w:rsidR="00CD1CE4" w:rsidRPr="00621592" w:rsidRDefault="00CD1CE4" w:rsidP="002D7A1F">
            <w:pPr>
              <w:rPr>
                <w:sz w:val="22"/>
                <w:szCs w:val="22"/>
              </w:rPr>
            </w:pPr>
            <w:r w:rsidRPr="00621592">
              <w:rPr>
                <w:sz w:val="22"/>
                <w:szCs w:val="22"/>
              </w:rPr>
              <w:t xml:space="preserve">Doprinosi </w:t>
            </w:r>
          </w:p>
        </w:tc>
        <w:tc>
          <w:tcPr>
            <w:tcW w:w="2231" w:type="dxa"/>
            <w:tcBorders>
              <w:top w:val="nil"/>
              <w:left w:val="nil"/>
              <w:bottom w:val="single" w:sz="4" w:space="0" w:color="848484"/>
              <w:right w:val="single" w:sz="4" w:space="0" w:color="848484"/>
            </w:tcBorders>
            <w:shd w:val="clear" w:color="auto" w:fill="auto"/>
            <w:noWrap/>
            <w:vAlign w:val="center"/>
            <w:hideMark/>
          </w:tcPr>
          <w:p w:rsidR="00CD1CE4" w:rsidRPr="00621592" w:rsidRDefault="00CD1CE4" w:rsidP="002D7A1F">
            <w:pPr>
              <w:jc w:val="right"/>
              <w:rPr>
                <w:sz w:val="22"/>
                <w:szCs w:val="22"/>
              </w:rPr>
            </w:pPr>
            <w:r w:rsidRPr="00621592">
              <w:rPr>
                <w:sz w:val="22"/>
                <w:szCs w:val="22"/>
              </w:rPr>
              <w:t>23.917.412.036,44</w:t>
            </w:r>
          </w:p>
        </w:tc>
      </w:tr>
      <w:tr w:rsidR="00CD1CE4" w:rsidTr="00BF25F0">
        <w:trPr>
          <w:trHeight w:val="238"/>
        </w:trPr>
        <w:tc>
          <w:tcPr>
            <w:tcW w:w="855" w:type="dxa"/>
            <w:tcBorders>
              <w:top w:val="nil"/>
              <w:left w:val="single" w:sz="4" w:space="0" w:color="848484"/>
              <w:bottom w:val="single" w:sz="4" w:space="0" w:color="848484"/>
              <w:right w:val="single" w:sz="4" w:space="0" w:color="848484"/>
            </w:tcBorders>
            <w:shd w:val="clear" w:color="auto" w:fill="auto"/>
            <w:noWrap/>
            <w:vAlign w:val="center"/>
            <w:hideMark/>
          </w:tcPr>
          <w:p w:rsidR="00CD1CE4" w:rsidRPr="00621592" w:rsidRDefault="00CD1CE4" w:rsidP="002D7A1F">
            <w:pPr>
              <w:ind w:firstLineChars="200" w:firstLine="440"/>
              <w:rPr>
                <w:sz w:val="22"/>
                <w:szCs w:val="22"/>
              </w:rPr>
            </w:pPr>
            <w:r w:rsidRPr="00621592">
              <w:rPr>
                <w:sz w:val="22"/>
                <w:szCs w:val="22"/>
              </w:rPr>
              <w:t>3</w:t>
            </w:r>
          </w:p>
        </w:tc>
        <w:tc>
          <w:tcPr>
            <w:tcW w:w="5406" w:type="dxa"/>
            <w:tcBorders>
              <w:top w:val="nil"/>
              <w:left w:val="nil"/>
              <w:bottom w:val="single" w:sz="4" w:space="0" w:color="848484"/>
              <w:right w:val="single" w:sz="4" w:space="0" w:color="848484"/>
            </w:tcBorders>
            <w:shd w:val="clear" w:color="auto" w:fill="auto"/>
            <w:vAlign w:val="center"/>
            <w:hideMark/>
          </w:tcPr>
          <w:p w:rsidR="00CD1CE4" w:rsidRPr="00621592" w:rsidRDefault="00CD1CE4" w:rsidP="002D7A1F">
            <w:pPr>
              <w:rPr>
                <w:sz w:val="22"/>
                <w:szCs w:val="22"/>
              </w:rPr>
            </w:pPr>
            <w:r w:rsidRPr="00621592">
              <w:rPr>
                <w:sz w:val="22"/>
                <w:szCs w:val="22"/>
              </w:rPr>
              <w:t>Vlastiti prihodi</w:t>
            </w:r>
          </w:p>
        </w:tc>
        <w:tc>
          <w:tcPr>
            <w:tcW w:w="2231" w:type="dxa"/>
            <w:tcBorders>
              <w:top w:val="nil"/>
              <w:left w:val="nil"/>
              <w:bottom w:val="single" w:sz="4" w:space="0" w:color="848484"/>
              <w:right w:val="single" w:sz="4" w:space="0" w:color="848484"/>
            </w:tcBorders>
            <w:shd w:val="clear" w:color="auto" w:fill="auto"/>
            <w:noWrap/>
            <w:vAlign w:val="center"/>
            <w:hideMark/>
          </w:tcPr>
          <w:p w:rsidR="00CD1CE4" w:rsidRPr="00621592" w:rsidRDefault="00CD1CE4" w:rsidP="002D7A1F">
            <w:pPr>
              <w:jc w:val="right"/>
              <w:rPr>
                <w:sz w:val="22"/>
                <w:szCs w:val="22"/>
              </w:rPr>
            </w:pPr>
            <w:r w:rsidRPr="00621592">
              <w:rPr>
                <w:sz w:val="22"/>
                <w:szCs w:val="22"/>
              </w:rPr>
              <w:t>1.158.643.244,07</w:t>
            </w:r>
          </w:p>
        </w:tc>
      </w:tr>
      <w:tr w:rsidR="00CD1CE4" w:rsidTr="00BF25F0">
        <w:trPr>
          <w:trHeight w:val="238"/>
        </w:trPr>
        <w:tc>
          <w:tcPr>
            <w:tcW w:w="855" w:type="dxa"/>
            <w:tcBorders>
              <w:top w:val="nil"/>
              <w:left w:val="single" w:sz="4" w:space="0" w:color="848484"/>
              <w:bottom w:val="single" w:sz="4" w:space="0" w:color="848484"/>
              <w:right w:val="single" w:sz="4" w:space="0" w:color="848484"/>
            </w:tcBorders>
            <w:shd w:val="clear" w:color="auto" w:fill="auto"/>
            <w:noWrap/>
            <w:vAlign w:val="center"/>
            <w:hideMark/>
          </w:tcPr>
          <w:p w:rsidR="00CD1CE4" w:rsidRPr="00621592" w:rsidRDefault="00CD1CE4" w:rsidP="002D7A1F">
            <w:pPr>
              <w:ind w:firstLineChars="200" w:firstLine="440"/>
              <w:rPr>
                <w:sz w:val="22"/>
                <w:szCs w:val="22"/>
              </w:rPr>
            </w:pPr>
            <w:r w:rsidRPr="00621592">
              <w:rPr>
                <w:sz w:val="22"/>
                <w:szCs w:val="22"/>
              </w:rPr>
              <w:t>4</w:t>
            </w:r>
          </w:p>
        </w:tc>
        <w:tc>
          <w:tcPr>
            <w:tcW w:w="5406" w:type="dxa"/>
            <w:tcBorders>
              <w:top w:val="nil"/>
              <w:left w:val="nil"/>
              <w:bottom w:val="single" w:sz="4" w:space="0" w:color="848484"/>
              <w:right w:val="single" w:sz="4" w:space="0" w:color="848484"/>
            </w:tcBorders>
            <w:shd w:val="clear" w:color="auto" w:fill="auto"/>
            <w:vAlign w:val="center"/>
            <w:hideMark/>
          </w:tcPr>
          <w:p w:rsidR="00CD1CE4" w:rsidRPr="00621592" w:rsidRDefault="00CD1CE4" w:rsidP="002D7A1F">
            <w:pPr>
              <w:rPr>
                <w:sz w:val="22"/>
                <w:szCs w:val="22"/>
              </w:rPr>
            </w:pPr>
            <w:r w:rsidRPr="00621592">
              <w:rPr>
                <w:sz w:val="22"/>
                <w:szCs w:val="22"/>
              </w:rPr>
              <w:t>Prihodi za posebne namjene</w:t>
            </w:r>
          </w:p>
        </w:tc>
        <w:tc>
          <w:tcPr>
            <w:tcW w:w="2231" w:type="dxa"/>
            <w:tcBorders>
              <w:top w:val="nil"/>
              <w:left w:val="nil"/>
              <w:bottom w:val="single" w:sz="4" w:space="0" w:color="848484"/>
              <w:right w:val="single" w:sz="4" w:space="0" w:color="848484"/>
            </w:tcBorders>
            <w:shd w:val="clear" w:color="auto" w:fill="auto"/>
            <w:noWrap/>
            <w:vAlign w:val="center"/>
            <w:hideMark/>
          </w:tcPr>
          <w:p w:rsidR="00CD1CE4" w:rsidRPr="00621592" w:rsidRDefault="00CD1CE4" w:rsidP="002D7A1F">
            <w:pPr>
              <w:jc w:val="right"/>
              <w:rPr>
                <w:sz w:val="22"/>
                <w:szCs w:val="22"/>
              </w:rPr>
            </w:pPr>
            <w:r w:rsidRPr="00621592">
              <w:rPr>
                <w:sz w:val="22"/>
                <w:szCs w:val="22"/>
              </w:rPr>
              <w:t>11.548.411.860,41</w:t>
            </w:r>
          </w:p>
        </w:tc>
      </w:tr>
      <w:tr w:rsidR="00CD1CE4" w:rsidTr="00BF25F0">
        <w:trPr>
          <w:trHeight w:val="238"/>
        </w:trPr>
        <w:tc>
          <w:tcPr>
            <w:tcW w:w="855" w:type="dxa"/>
            <w:tcBorders>
              <w:top w:val="nil"/>
              <w:left w:val="single" w:sz="4" w:space="0" w:color="848484"/>
              <w:bottom w:val="single" w:sz="4" w:space="0" w:color="848484"/>
              <w:right w:val="single" w:sz="4" w:space="0" w:color="848484"/>
            </w:tcBorders>
            <w:shd w:val="clear" w:color="auto" w:fill="auto"/>
            <w:noWrap/>
            <w:vAlign w:val="center"/>
            <w:hideMark/>
          </w:tcPr>
          <w:p w:rsidR="00CD1CE4" w:rsidRPr="00621592" w:rsidRDefault="00CD1CE4" w:rsidP="002D7A1F">
            <w:pPr>
              <w:ind w:firstLineChars="200" w:firstLine="440"/>
              <w:rPr>
                <w:sz w:val="22"/>
                <w:szCs w:val="22"/>
              </w:rPr>
            </w:pPr>
            <w:r w:rsidRPr="00621592">
              <w:rPr>
                <w:sz w:val="22"/>
                <w:szCs w:val="22"/>
              </w:rPr>
              <w:t>5</w:t>
            </w:r>
          </w:p>
        </w:tc>
        <w:tc>
          <w:tcPr>
            <w:tcW w:w="5406" w:type="dxa"/>
            <w:tcBorders>
              <w:top w:val="nil"/>
              <w:left w:val="nil"/>
              <w:bottom w:val="single" w:sz="4" w:space="0" w:color="848484"/>
              <w:right w:val="single" w:sz="4" w:space="0" w:color="848484"/>
            </w:tcBorders>
            <w:shd w:val="clear" w:color="auto" w:fill="auto"/>
            <w:vAlign w:val="center"/>
            <w:hideMark/>
          </w:tcPr>
          <w:p w:rsidR="00CD1CE4" w:rsidRPr="00621592" w:rsidRDefault="00CD1CE4" w:rsidP="002D7A1F">
            <w:pPr>
              <w:rPr>
                <w:sz w:val="22"/>
                <w:szCs w:val="22"/>
              </w:rPr>
            </w:pPr>
            <w:r w:rsidRPr="00621592">
              <w:rPr>
                <w:sz w:val="22"/>
                <w:szCs w:val="22"/>
              </w:rPr>
              <w:t>Pomoći</w:t>
            </w:r>
          </w:p>
        </w:tc>
        <w:tc>
          <w:tcPr>
            <w:tcW w:w="2231" w:type="dxa"/>
            <w:tcBorders>
              <w:top w:val="nil"/>
              <w:left w:val="nil"/>
              <w:bottom w:val="single" w:sz="4" w:space="0" w:color="848484"/>
              <w:right w:val="single" w:sz="4" w:space="0" w:color="848484"/>
            </w:tcBorders>
            <w:shd w:val="clear" w:color="auto" w:fill="auto"/>
            <w:noWrap/>
            <w:vAlign w:val="center"/>
            <w:hideMark/>
          </w:tcPr>
          <w:p w:rsidR="00CD1CE4" w:rsidRPr="00621592" w:rsidRDefault="00CD1CE4" w:rsidP="002D7A1F">
            <w:pPr>
              <w:jc w:val="right"/>
              <w:rPr>
                <w:sz w:val="22"/>
                <w:szCs w:val="22"/>
              </w:rPr>
            </w:pPr>
            <w:r w:rsidRPr="00621592">
              <w:rPr>
                <w:sz w:val="22"/>
                <w:szCs w:val="22"/>
              </w:rPr>
              <w:t>13.971.494.210,83</w:t>
            </w:r>
          </w:p>
        </w:tc>
      </w:tr>
      <w:tr w:rsidR="00CD1CE4" w:rsidTr="00BF25F0">
        <w:trPr>
          <w:trHeight w:val="238"/>
        </w:trPr>
        <w:tc>
          <w:tcPr>
            <w:tcW w:w="855" w:type="dxa"/>
            <w:tcBorders>
              <w:top w:val="nil"/>
              <w:left w:val="single" w:sz="4" w:space="0" w:color="848484"/>
              <w:bottom w:val="single" w:sz="4" w:space="0" w:color="848484"/>
              <w:right w:val="single" w:sz="4" w:space="0" w:color="848484"/>
            </w:tcBorders>
            <w:shd w:val="clear" w:color="auto" w:fill="auto"/>
            <w:noWrap/>
            <w:vAlign w:val="center"/>
            <w:hideMark/>
          </w:tcPr>
          <w:p w:rsidR="00CD1CE4" w:rsidRPr="00621592" w:rsidRDefault="00CD1CE4" w:rsidP="002D7A1F">
            <w:pPr>
              <w:ind w:firstLineChars="200" w:firstLine="440"/>
              <w:rPr>
                <w:sz w:val="22"/>
                <w:szCs w:val="22"/>
              </w:rPr>
            </w:pPr>
            <w:r w:rsidRPr="00621592">
              <w:rPr>
                <w:sz w:val="22"/>
                <w:szCs w:val="22"/>
              </w:rPr>
              <w:t>6</w:t>
            </w:r>
          </w:p>
        </w:tc>
        <w:tc>
          <w:tcPr>
            <w:tcW w:w="5406" w:type="dxa"/>
            <w:tcBorders>
              <w:top w:val="nil"/>
              <w:left w:val="nil"/>
              <w:bottom w:val="single" w:sz="4" w:space="0" w:color="848484"/>
              <w:right w:val="single" w:sz="4" w:space="0" w:color="848484"/>
            </w:tcBorders>
            <w:shd w:val="clear" w:color="auto" w:fill="auto"/>
            <w:vAlign w:val="center"/>
            <w:hideMark/>
          </w:tcPr>
          <w:p w:rsidR="00CD1CE4" w:rsidRPr="00621592" w:rsidRDefault="00CD1CE4" w:rsidP="002D7A1F">
            <w:pPr>
              <w:rPr>
                <w:sz w:val="22"/>
                <w:szCs w:val="22"/>
              </w:rPr>
            </w:pPr>
            <w:r w:rsidRPr="00621592">
              <w:rPr>
                <w:sz w:val="22"/>
                <w:szCs w:val="22"/>
              </w:rPr>
              <w:t>Donacije</w:t>
            </w:r>
          </w:p>
        </w:tc>
        <w:tc>
          <w:tcPr>
            <w:tcW w:w="2231" w:type="dxa"/>
            <w:tcBorders>
              <w:top w:val="nil"/>
              <w:left w:val="nil"/>
              <w:bottom w:val="single" w:sz="4" w:space="0" w:color="848484"/>
              <w:right w:val="single" w:sz="4" w:space="0" w:color="848484"/>
            </w:tcBorders>
            <w:shd w:val="clear" w:color="auto" w:fill="auto"/>
            <w:noWrap/>
            <w:vAlign w:val="center"/>
            <w:hideMark/>
          </w:tcPr>
          <w:p w:rsidR="00CD1CE4" w:rsidRPr="00621592" w:rsidRDefault="00CD1CE4" w:rsidP="002D7A1F">
            <w:pPr>
              <w:jc w:val="right"/>
              <w:rPr>
                <w:sz w:val="22"/>
                <w:szCs w:val="22"/>
              </w:rPr>
            </w:pPr>
            <w:r w:rsidRPr="00621592">
              <w:rPr>
                <w:sz w:val="22"/>
                <w:szCs w:val="22"/>
              </w:rPr>
              <w:t>140.285.532,11</w:t>
            </w:r>
          </w:p>
        </w:tc>
      </w:tr>
      <w:tr w:rsidR="00CD1CE4" w:rsidTr="00BF25F0">
        <w:trPr>
          <w:trHeight w:val="476"/>
        </w:trPr>
        <w:tc>
          <w:tcPr>
            <w:tcW w:w="855" w:type="dxa"/>
            <w:tcBorders>
              <w:top w:val="nil"/>
              <w:left w:val="single" w:sz="4" w:space="0" w:color="848484"/>
              <w:bottom w:val="single" w:sz="4" w:space="0" w:color="848484"/>
              <w:right w:val="single" w:sz="4" w:space="0" w:color="848484"/>
            </w:tcBorders>
            <w:shd w:val="clear" w:color="auto" w:fill="auto"/>
            <w:noWrap/>
            <w:vAlign w:val="center"/>
            <w:hideMark/>
          </w:tcPr>
          <w:p w:rsidR="00CD1CE4" w:rsidRPr="00621592" w:rsidRDefault="00CD1CE4" w:rsidP="002D7A1F">
            <w:pPr>
              <w:ind w:firstLineChars="200" w:firstLine="440"/>
              <w:rPr>
                <w:sz w:val="22"/>
                <w:szCs w:val="22"/>
              </w:rPr>
            </w:pPr>
            <w:r w:rsidRPr="00621592">
              <w:rPr>
                <w:sz w:val="22"/>
                <w:szCs w:val="22"/>
              </w:rPr>
              <w:t>7</w:t>
            </w:r>
          </w:p>
        </w:tc>
        <w:tc>
          <w:tcPr>
            <w:tcW w:w="5406" w:type="dxa"/>
            <w:tcBorders>
              <w:top w:val="nil"/>
              <w:left w:val="nil"/>
              <w:bottom w:val="single" w:sz="4" w:space="0" w:color="848484"/>
              <w:right w:val="single" w:sz="4" w:space="0" w:color="848484"/>
            </w:tcBorders>
            <w:shd w:val="clear" w:color="auto" w:fill="auto"/>
            <w:vAlign w:val="center"/>
            <w:hideMark/>
          </w:tcPr>
          <w:p w:rsidR="00CD1CE4" w:rsidRPr="00621592" w:rsidRDefault="00CD1CE4" w:rsidP="002D7A1F">
            <w:pPr>
              <w:rPr>
                <w:sz w:val="22"/>
                <w:szCs w:val="22"/>
              </w:rPr>
            </w:pPr>
            <w:r w:rsidRPr="00621592">
              <w:rPr>
                <w:sz w:val="22"/>
                <w:szCs w:val="22"/>
              </w:rPr>
              <w:t>Prihodi od prodaje ili zamjene nefinancijske imovine i naknade s naslova osiguranja</w:t>
            </w:r>
          </w:p>
        </w:tc>
        <w:tc>
          <w:tcPr>
            <w:tcW w:w="2231" w:type="dxa"/>
            <w:tcBorders>
              <w:top w:val="nil"/>
              <w:left w:val="nil"/>
              <w:bottom w:val="single" w:sz="4" w:space="0" w:color="848484"/>
              <w:right w:val="single" w:sz="4" w:space="0" w:color="848484"/>
            </w:tcBorders>
            <w:shd w:val="clear" w:color="auto" w:fill="auto"/>
            <w:noWrap/>
            <w:vAlign w:val="center"/>
            <w:hideMark/>
          </w:tcPr>
          <w:p w:rsidR="00CD1CE4" w:rsidRPr="00621592" w:rsidRDefault="00CD1CE4" w:rsidP="002D7A1F">
            <w:pPr>
              <w:jc w:val="right"/>
              <w:rPr>
                <w:sz w:val="22"/>
                <w:szCs w:val="22"/>
              </w:rPr>
            </w:pPr>
            <w:r w:rsidRPr="00621592">
              <w:rPr>
                <w:sz w:val="22"/>
                <w:szCs w:val="22"/>
              </w:rPr>
              <w:t>315.815.977,72</w:t>
            </w:r>
          </w:p>
        </w:tc>
      </w:tr>
      <w:tr w:rsidR="00CD1CE4" w:rsidTr="00BF25F0">
        <w:trPr>
          <w:trHeight w:val="238"/>
        </w:trPr>
        <w:tc>
          <w:tcPr>
            <w:tcW w:w="855" w:type="dxa"/>
            <w:tcBorders>
              <w:top w:val="nil"/>
              <w:left w:val="single" w:sz="4" w:space="0" w:color="848484"/>
              <w:bottom w:val="single" w:sz="4" w:space="0" w:color="848484"/>
              <w:right w:val="single" w:sz="4" w:space="0" w:color="848484"/>
            </w:tcBorders>
            <w:shd w:val="clear" w:color="auto" w:fill="auto"/>
            <w:noWrap/>
            <w:vAlign w:val="center"/>
            <w:hideMark/>
          </w:tcPr>
          <w:p w:rsidR="00CD1CE4" w:rsidRPr="00621592" w:rsidRDefault="00CD1CE4" w:rsidP="002D7A1F">
            <w:pPr>
              <w:ind w:firstLineChars="200" w:firstLine="440"/>
              <w:rPr>
                <w:sz w:val="22"/>
                <w:szCs w:val="22"/>
              </w:rPr>
            </w:pPr>
            <w:r w:rsidRPr="00621592">
              <w:rPr>
                <w:sz w:val="22"/>
                <w:szCs w:val="22"/>
              </w:rPr>
              <w:t>8</w:t>
            </w:r>
          </w:p>
        </w:tc>
        <w:tc>
          <w:tcPr>
            <w:tcW w:w="5406" w:type="dxa"/>
            <w:tcBorders>
              <w:top w:val="nil"/>
              <w:left w:val="nil"/>
              <w:bottom w:val="single" w:sz="4" w:space="0" w:color="848484"/>
              <w:right w:val="single" w:sz="4" w:space="0" w:color="848484"/>
            </w:tcBorders>
            <w:shd w:val="clear" w:color="auto" w:fill="auto"/>
            <w:vAlign w:val="center"/>
            <w:hideMark/>
          </w:tcPr>
          <w:p w:rsidR="00CD1CE4" w:rsidRPr="00621592" w:rsidRDefault="00CD1CE4" w:rsidP="002D7A1F">
            <w:pPr>
              <w:rPr>
                <w:sz w:val="22"/>
                <w:szCs w:val="22"/>
              </w:rPr>
            </w:pPr>
            <w:r w:rsidRPr="00621592">
              <w:rPr>
                <w:sz w:val="22"/>
                <w:szCs w:val="22"/>
              </w:rPr>
              <w:t>Namjenski primici od zaduživanja</w:t>
            </w:r>
          </w:p>
        </w:tc>
        <w:tc>
          <w:tcPr>
            <w:tcW w:w="2231" w:type="dxa"/>
            <w:tcBorders>
              <w:top w:val="nil"/>
              <w:left w:val="nil"/>
              <w:bottom w:val="single" w:sz="4" w:space="0" w:color="848484"/>
              <w:right w:val="single" w:sz="4" w:space="0" w:color="848484"/>
            </w:tcBorders>
            <w:shd w:val="clear" w:color="auto" w:fill="auto"/>
            <w:noWrap/>
            <w:vAlign w:val="center"/>
            <w:hideMark/>
          </w:tcPr>
          <w:p w:rsidR="00CD1CE4" w:rsidRPr="00621592" w:rsidRDefault="00CD1CE4" w:rsidP="002D7A1F">
            <w:pPr>
              <w:jc w:val="right"/>
              <w:rPr>
                <w:sz w:val="22"/>
                <w:szCs w:val="22"/>
              </w:rPr>
            </w:pPr>
            <w:r w:rsidRPr="00621592">
              <w:rPr>
                <w:sz w:val="22"/>
                <w:szCs w:val="22"/>
              </w:rPr>
              <w:t>112.775.764,69</w:t>
            </w:r>
          </w:p>
        </w:tc>
      </w:tr>
    </w:tbl>
    <w:p w:rsidR="00CD1CE4" w:rsidRDefault="00CD1CE4" w:rsidP="002D7A1F">
      <w:pPr>
        <w:jc w:val="both"/>
        <w:rPr>
          <w:highlight w:val="yellow"/>
        </w:rPr>
      </w:pPr>
    </w:p>
    <w:p w:rsidR="00CD1CE4" w:rsidRPr="00F67C7E" w:rsidRDefault="00CD1CE4" w:rsidP="002D7A1F">
      <w:pPr>
        <w:jc w:val="both"/>
      </w:pPr>
      <w:r w:rsidRPr="00F67C7E">
        <w:t>Od ukupno izvršenih rashoda u iznosu od 139,9 milijardi kuna u 2019. godini, najveći iznos od 88,7 milijardi kuna financiran je iz izvora Opći prihodi i primici, dok su rashodi financirani iz izvora financiranja Doprinosi izvršeni u iznosu od 23,9 milijardi kuna.</w:t>
      </w:r>
    </w:p>
    <w:p w:rsidR="00CD1CE4" w:rsidRPr="002B4320" w:rsidRDefault="00CD1CE4" w:rsidP="002D7A1F">
      <w:pPr>
        <w:jc w:val="both"/>
        <w:rPr>
          <w:highlight w:val="yellow"/>
        </w:rPr>
      </w:pPr>
    </w:p>
    <w:p w:rsidR="00CD1CE4" w:rsidRPr="00F67C7E" w:rsidRDefault="00CD1CE4" w:rsidP="002D7A1F">
      <w:pPr>
        <w:jc w:val="both"/>
      </w:pPr>
      <w:r w:rsidRPr="00F67C7E">
        <w:t xml:space="preserve">Rashodi financirani iz izvora Prihodi za posebne namjene izvršeni su u iznosu od 11,5 milijardi kuna. U okviru navedenog izvora najveći iznos rashoda od 11,0 milijardi kuna financiran je iz </w:t>
      </w:r>
      <w:proofErr w:type="spellStart"/>
      <w:r w:rsidRPr="00F67C7E">
        <w:t>podizvora</w:t>
      </w:r>
      <w:proofErr w:type="spellEnd"/>
      <w:r w:rsidRPr="00F67C7E">
        <w:t xml:space="preserve"> Ostali prihodi za posebne namjene. Iz </w:t>
      </w:r>
      <w:proofErr w:type="spellStart"/>
      <w:r w:rsidRPr="00F67C7E">
        <w:t>podizvora</w:t>
      </w:r>
      <w:proofErr w:type="spellEnd"/>
      <w:r w:rsidRPr="00F67C7E">
        <w:t xml:space="preserve"> Prihodi od igara na sreću financirano je 535,1 milijun kuna rashoda, a iz </w:t>
      </w:r>
      <w:proofErr w:type="spellStart"/>
      <w:r w:rsidRPr="00F67C7E">
        <w:t>podizvora</w:t>
      </w:r>
      <w:proofErr w:type="spellEnd"/>
      <w:r w:rsidRPr="00F67C7E">
        <w:t xml:space="preserve"> Prihodi od spomeničke rente financirano je 36,9 milijuna kuna rashoda.</w:t>
      </w:r>
    </w:p>
    <w:p w:rsidR="00CD1CE4" w:rsidRPr="002B4320" w:rsidRDefault="00CD1CE4" w:rsidP="002D7A1F">
      <w:pPr>
        <w:jc w:val="both"/>
        <w:rPr>
          <w:highlight w:val="yellow"/>
        </w:rPr>
      </w:pPr>
    </w:p>
    <w:p w:rsidR="00CD1CE4" w:rsidRPr="002B4320" w:rsidRDefault="00CD1CE4" w:rsidP="002D7A1F">
      <w:pPr>
        <w:jc w:val="both"/>
        <w:rPr>
          <w:highlight w:val="yellow"/>
        </w:rPr>
      </w:pPr>
      <w:r w:rsidRPr="00F67C7E">
        <w:t xml:space="preserve">U 2019. godini iz izvora Pomoći financirano je 14,0 milijardi kuna rashoda, od čega je </w:t>
      </w:r>
      <w:r>
        <w:t>13,3 milijarde</w:t>
      </w:r>
      <w:r w:rsidRPr="00F67C7E">
        <w:t xml:space="preserve"> kuna financirano iz fondova Europske unije (Europski fond za regionalni razvoj 4,1 milijarda kuna, Europski poljoprivredni jamstveni fond 2,4 milijarde kuna, Europski poljoprivredni fond za ruralni razvoj 2,1 milijardu kuna, Europski socijalni fond 2,0 milijarde kuna, Kohezijski fond 1,9 </w:t>
      </w:r>
      <w:r>
        <w:t>milijardi</w:t>
      </w:r>
      <w:r w:rsidRPr="00F67C7E">
        <w:t xml:space="preserve"> kuna, Ribarski fondovi 130,2  milijuna kuna itd.). </w:t>
      </w:r>
    </w:p>
    <w:p w:rsidR="00CD1CE4" w:rsidRPr="002B4320" w:rsidRDefault="00CD1CE4" w:rsidP="002D7A1F">
      <w:pPr>
        <w:jc w:val="both"/>
        <w:rPr>
          <w:highlight w:val="yellow"/>
        </w:rPr>
      </w:pPr>
    </w:p>
    <w:p w:rsidR="00CD1CE4" w:rsidRPr="0056023E" w:rsidRDefault="00CD1CE4" w:rsidP="002D7A1F">
      <w:pPr>
        <w:jc w:val="both"/>
      </w:pPr>
      <w:r w:rsidRPr="0056023E">
        <w:t xml:space="preserve">Iz fondova Europske unije, osim rashoda, financirani su izdaci za dane zajmove trgovačkim društvima i obrtnicima izvan javnog sektora i izdaci za dane zajmove kreditnim institucijama u javnom sektoru te izdaci za dionice i udjele u glavnici tuzemnih trgovačkih društava izvan javnog sektora u ukupnom iznosu od 1,0 milijardu kuna. Radi se o financijskim instrumentima: mikro krediti, mali krediti, pojedinačna jamstva i ograničena </w:t>
      </w:r>
      <w:proofErr w:type="spellStart"/>
      <w:r w:rsidRPr="0056023E">
        <w:t>portfeljna</w:t>
      </w:r>
      <w:proofErr w:type="spellEnd"/>
      <w:r w:rsidRPr="0056023E">
        <w:t xml:space="preserve"> jamstva koji se financiraju u okviru Operativnog programa Konkurentnost i kohezija (bolji pristup financiranju za mala i srednja poduzeća), te mikro i malim zajmovima za ruralni razvoj.</w:t>
      </w:r>
    </w:p>
    <w:p w:rsidR="00CD1CE4" w:rsidRDefault="00CD1CE4" w:rsidP="002D7A1F">
      <w:pPr>
        <w:pStyle w:val="xmsonormal"/>
        <w:jc w:val="both"/>
      </w:pPr>
    </w:p>
    <w:p w:rsidR="00CD1CE4" w:rsidRPr="001A7D02" w:rsidRDefault="00CD1CE4" w:rsidP="002D7A1F">
      <w:pPr>
        <w:pStyle w:val="xmsonormal"/>
        <w:jc w:val="both"/>
        <w:rPr>
          <w:b/>
          <w:bCs/>
        </w:rPr>
      </w:pPr>
      <w:r w:rsidRPr="001A7D02">
        <w:rPr>
          <w:b/>
          <w:bCs/>
        </w:rPr>
        <w:lastRenderedPageBreak/>
        <w:t>Način iskazivanja prihoda i rashoda u vezi s pomoćima EU, podaci o potraživanjima</w:t>
      </w:r>
      <w:r>
        <w:rPr>
          <w:b/>
          <w:bCs/>
        </w:rPr>
        <w:t xml:space="preserve"> i</w:t>
      </w:r>
      <w:r w:rsidRPr="001A7D02">
        <w:rPr>
          <w:b/>
          <w:bCs/>
        </w:rPr>
        <w:t xml:space="preserve">z fondova EU za isplaćena sredstva korisnicima te podaci o obvezama za primljene predujmove iz fondova EU </w:t>
      </w:r>
    </w:p>
    <w:p w:rsidR="00CD1CE4" w:rsidRDefault="00CD1CE4" w:rsidP="002D7A1F">
      <w:pPr>
        <w:pStyle w:val="xmsonormal"/>
        <w:jc w:val="both"/>
      </w:pPr>
    </w:p>
    <w:p w:rsidR="00CD1CE4" w:rsidRPr="006119C4" w:rsidRDefault="00CD1CE4" w:rsidP="002D7A1F">
      <w:pPr>
        <w:pStyle w:val="xmsonormal"/>
        <w:jc w:val="both"/>
      </w:pPr>
      <w:r w:rsidRPr="006119C4">
        <w:t>Odredbama</w:t>
      </w:r>
      <w:r>
        <w:t xml:space="preserve"> </w:t>
      </w:r>
      <w:r w:rsidRPr="006119C4">
        <w:t>Pravilnika</w:t>
      </w:r>
      <w:r>
        <w:t xml:space="preserve"> </w:t>
      </w:r>
      <w:r w:rsidRPr="006119C4">
        <w:t>o</w:t>
      </w:r>
      <w:r>
        <w:t xml:space="preserve"> </w:t>
      </w:r>
      <w:r w:rsidRPr="006119C4">
        <w:t>proračunskom</w:t>
      </w:r>
      <w:r>
        <w:t xml:space="preserve"> </w:t>
      </w:r>
      <w:r w:rsidRPr="006119C4">
        <w:t>računovodstvu</w:t>
      </w:r>
      <w:r>
        <w:t xml:space="preserve"> </w:t>
      </w:r>
      <w:r w:rsidRPr="006119C4">
        <w:t>i</w:t>
      </w:r>
      <w:r>
        <w:t xml:space="preserve"> </w:t>
      </w:r>
      <w:r w:rsidRPr="006119C4">
        <w:t>računskom</w:t>
      </w:r>
      <w:r>
        <w:t xml:space="preserve"> </w:t>
      </w:r>
      <w:r w:rsidRPr="006119C4">
        <w:t>planu</w:t>
      </w:r>
      <w:r>
        <w:t xml:space="preserve"> donesenog na temelju odredbi Zakona o proračunu </w:t>
      </w:r>
      <w:r w:rsidRPr="006119C4">
        <w:t>uređeno</w:t>
      </w:r>
      <w:r>
        <w:t xml:space="preserve"> </w:t>
      </w:r>
      <w:r w:rsidRPr="006119C4">
        <w:t>je</w:t>
      </w:r>
      <w:r>
        <w:t xml:space="preserve"> </w:t>
      </w:r>
      <w:r w:rsidRPr="006119C4">
        <w:t>da</w:t>
      </w:r>
      <w:r>
        <w:t xml:space="preserve"> </w:t>
      </w:r>
      <w:r w:rsidRPr="006119C4">
        <w:t>se</w:t>
      </w:r>
      <w:r>
        <w:t xml:space="preserve"> </w:t>
      </w:r>
      <w:r w:rsidRPr="006119C4">
        <w:t>prihodi</w:t>
      </w:r>
      <w:r>
        <w:t xml:space="preserve"> </w:t>
      </w:r>
      <w:r w:rsidRPr="006119C4">
        <w:t>i</w:t>
      </w:r>
      <w:r>
        <w:t xml:space="preserve"> </w:t>
      </w:r>
      <w:r w:rsidRPr="006119C4">
        <w:t>rashodi</w:t>
      </w:r>
      <w:r>
        <w:t xml:space="preserve"> </w:t>
      </w:r>
      <w:r w:rsidRPr="004C1B0C">
        <w:rPr>
          <w:b/>
        </w:rPr>
        <w:t>u proračunskom računovodstvu</w:t>
      </w:r>
      <w:r>
        <w:t xml:space="preserve"> </w:t>
      </w:r>
      <w:r w:rsidRPr="006119C4">
        <w:t>iskazuju</w:t>
      </w:r>
      <w:r>
        <w:t xml:space="preserve"> </w:t>
      </w:r>
      <w:r w:rsidRPr="006119C4">
        <w:t>uz</w:t>
      </w:r>
      <w:r>
        <w:t xml:space="preserve"> </w:t>
      </w:r>
      <w:r w:rsidRPr="006119C4">
        <w:t>primjenu</w:t>
      </w:r>
      <w:r>
        <w:t xml:space="preserve"> </w:t>
      </w:r>
      <w:r w:rsidRPr="004C1B0C">
        <w:rPr>
          <w:b/>
        </w:rPr>
        <w:t>modificiranog računovodstvenog načela nastanka događaja</w:t>
      </w:r>
      <w:r w:rsidRPr="006119C4">
        <w:t>.</w:t>
      </w:r>
      <w:r>
        <w:t xml:space="preserve"> </w:t>
      </w:r>
      <w:r w:rsidRPr="006119C4">
        <w:t>Modificirano</w:t>
      </w:r>
      <w:r>
        <w:t xml:space="preserve"> </w:t>
      </w:r>
      <w:r w:rsidRPr="006119C4">
        <w:t>računovodstveno</w:t>
      </w:r>
      <w:r>
        <w:t xml:space="preserve"> </w:t>
      </w:r>
      <w:r w:rsidRPr="006119C4">
        <w:t>načelo</w:t>
      </w:r>
      <w:r>
        <w:t xml:space="preserve"> </w:t>
      </w:r>
      <w:r w:rsidRPr="006119C4">
        <w:t>nastanka</w:t>
      </w:r>
      <w:r>
        <w:t xml:space="preserve"> </w:t>
      </w:r>
      <w:r w:rsidRPr="006119C4">
        <w:t>događaja,</w:t>
      </w:r>
      <w:r>
        <w:t xml:space="preserve"> </w:t>
      </w:r>
      <w:r w:rsidRPr="006119C4">
        <w:t>između</w:t>
      </w:r>
      <w:r>
        <w:t xml:space="preserve"> </w:t>
      </w:r>
      <w:r w:rsidRPr="006119C4">
        <w:t>ostaloga,</w:t>
      </w:r>
      <w:r>
        <w:t xml:space="preserve"> </w:t>
      </w:r>
      <w:r w:rsidRPr="006119C4">
        <w:t>znači</w:t>
      </w:r>
      <w:r>
        <w:t xml:space="preserve"> </w:t>
      </w:r>
      <w:r w:rsidRPr="006119C4">
        <w:t>da</w:t>
      </w:r>
      <w:r>
        <w:t xml:space="preserve"> </w:t>
      </w:r>
      <w:r w:rsidRPr="006119C4">
        <w:t>se</w:t>
      </w:r>
      <w:r>
        <w:t xml:space="preserve"> </w:t>
      </w:r>
      <w:r w:rsidRPr="006119C4">
        <w:t>prihodi</w:t>
      </w:r>
      <w:r>
        <w:t xml:space="preserve"> </w:t>
      </w:r>
      <w:r w:rsidRPr="006119C4">
        <w:t>priznaju</w:t>
      </w:r>
      <w:r>
        <w:t xml:space="preserve"> </w:t>
      </w:r>
      <w:r w:rsidRPr="006119C4">
        <w:t>u</w:t>
      </w:r>
      <w:r>
        <w:t xml:space="preserve"> </w:t>
      </w:r>
      <w:r w:rsidRPr="006119C4">
        <w:t>izvještajnom</w:t>
      </w:r>
      <w:r>
        <w:t xml:space="preserve"> </w:t>
      </w:r>
      <w:r w:rsidRPr="006119C4">
        <w:t>razdoblju</w:t>
      </w:r>
      <w:r>
        <w:t xml:space="preserve"> </w:t>
      </w:r>
      <w:r w:rsidRPr="006119C4">
        <w:t>u</w:t>
      </w:r>
      <w:r>
        <w:t xml:space="preserve"> </w:t>
      </w:r>
      <w:r w:rsidRPr="006119C4">
        <w:t>kojemu</w:t>
      </w:r>
      <w:r>
        <w:t xml:space="preserve"> </w:t>
      </w:r>
      <w:r w:rsidRPr="006119C4">
        <w:t>su</w:t>
      </w:r>
      <w:r>
        <w:t xml:space="preserve"> </w:t>
      </w:r>
      <w:r w:rsidRPr="006119C4">
        <w:t>postali</w:t>
      </w:r>
      <w:r>
        <w:t xml:space="preserve"> </w:t>
      </w:r>
      <w:r w:rsidRPr="006119C4">
        <w:t>raspoloživi</w:t>
      </w:r>
      <w:r>
        <w:t xml:space="preserve"> </w:t>
      </w:r>
      <w:r w:rsidRPr="006119C4">
        <w:t>i</w:t>
      </w:r>
      <w:r>
        <w:t xml:space="preserve"> </w:t>
      </w:r>
      <w:r w:rsidRPr="006119C4">
        <w:t>pod</w:t>
      </w:r>
      <w:r>
        <w:t xml:space="preserve"> </w:t>
      </w:r>
      <w:r w:rsidRPr="006119C4">
        <w:t>uvjetom</w:t>
      </w:r>
      <w:r>
        <w:t xml:space="preserve"> </w:t>
      </w:r>
      <w:r w:rsidRPr="006119C4">
        <w:t>da</w:t>
      </w:r>
      <w:r>
        <w:t xml:space="preserve"> </w:t>
      </w:r>
      <w:r w:rsidRPr="006119C4">
        <w:t>se</w:t>
      </w:r>
      <w:r>
        <w:t xml:space="preserve"> </w:t>
      </w:r>
      <w:r w:rsidRPr="006119C4">
        <w:t>mogu</w:t>
      </w:r>
      <w:r>
        <w:t xml:space="preserve"> </w:t>
      </w:r>
      <w:r w:rsidRPr="006119C4">
        <w:t>izmjeriti,</w:t>
      </w:r>
      <w:r>
        <w:t xml:space="preserve"> </w:t>
      </w:r>
      <w:r w:rsidRPr="006119C4">
        <w:t>a</w:t>
      </w:r>
      <w:r>
        <w:t xml:space="preserve"> </w:t>
      </w:r>
      <w:r w:rsidRPr="006119C4">
        <w:t>rashodi</w:t>
      </w:r>
      <w:r>
        <w:t xml:space="preserve"> </w:t>
      </w:r>
      <w:r w:rsidRPr="006119C4">
        <w:t>priznaju</w:t>
      </w:r>
      <w:r>
        <w:t xml:space="preserve"> </w:t>
      </w:r>
      <w:r w:rsidRPr="006119C4">
        <w:t>na</w:t>
      </w:r>
      <w:r>
        <w:t xml:space="preserve"> </w:t>
      </w:r>
      <w:r w:rsidRPr="006119C4">
        <w:t>temelju</w:t>
      </w:r>
      <w:r>
        <w:t xml:space="preserve"> </w:t>
      </w:r>
      <w:r w:rsidRPr="006119C4">
        <w:t>nastanka</w:t>
      </w:r>
      <w:r>
        <w:t xml:space="preserve"> </w:t>
      </w:r>
      <w:r w:rsidRPr="006119C4">
        <w:t>poslovnog</w:t>
      </w:r>
      <w:r>
        <w:t xml:space="preserve"> </w:t>
      </w:r>
      <w:r w:rsidRPr="006119C4">
        <w:t>događaja</w:t>
      </w:r>
      <w:r>
        <w:t xml:space="preserve"> </w:t>
      </w:r>
      <w:r w:rsidRPr="006119C4">
        <w:t>(obveza)</w:t>
      </w:r>
      <w:r>
        <w:t xml:space="preserve"> </w:t>
      </w:r>
      <w:r w:rsidRPr="006119C4">
        <w:t>i</w:t>
      </w:r>
      <w:r>
        <w:t xml:space="preserve"> </w:t>
      </w:r>
      <w:r w:rsidRPr="006119C4">
        <w:t>u</w:t>
      </w:r>
      <w:r>
        <w:t xml:space="preserve"> </w:t>
      </w:r>
      <w:r w:rsidRPr="006119C4">
        <w:t>izvještajnom</w:t>
      </w:r>
      <w:r>
        <w:t xml:space="preserve"> </w:t>
      </w:r>
      <w:r w:rsidRPr="006119C4">
        <w:t>razdoblju</w:t>
      </w:r>
      <w:r>
        <w:t xml:space="preserve"> </w:t>
      </w:r>
      <w:r w:rsidRPr="006119C4">
        <w:t>na</w:t>
      </w:r>
      <w:r>
        <w:t xml:space="preserve"> </w:t>
      </w:r>
      <w:r w:rsidRPr="006119C4">
        <w:t>koje</w:t>
      </w:r>
      <w:r>
        <w:t xml:space="preserve"> </w:t>
      </w:r>
      <w:r w:rsidRPr="006119C4">
        <w:t>se</w:t>
      </w:r>
      <w:r>
        <w:t xml:space="preserve"> </w:t>
      </w:r>
      <w:r w:rsidRPr="006119C4">
        <w:t>odnose,</w:t>
      </w:r>
      <w:r>
        <w:t xml:space="preserve"> </w:t>
      </w:r>
      <w:r w:rsidRPr="006119C4">
        <w:t>neovisno</w:t>
      </w:r>
      <w:r>
        <w:t xml:space="preserve"> </w:t>
      </w:r>
      <w:r w:rsidRPr="006119C4">
        <w:t>o</w:t>
      </w:r>
      <w:r>
        <w:t xml:space="preserve"> </w:t>
      </w:r>
      <w:r w:rsidRPr="006119C4">
        <w:t>plaćanju.</w:t>
      </w:r>
      <w:r>
        <w:t xml:space="preserve"> </w:t>
      </w:r>
    </w:p>
    <w:p w:rsidR="00CD1CE4" w:rsidRPr="006119C4" w:rsidRDefault="00CD1CE4" w:rsidP="002D7A1F">
      <w:pPr>
        <w:pStyle w:val="xmsonormal"/>
        <w:jc w:val="both"/>
      </w:pPr>
    </w:p>
    <w:p w:rsidR="00CD1CE4" w:rsidRPr="006119C4" w:rsidRDefault="00CD1CE4" w:rsidP="002D7A1F">
      <w:pPr>
        <w:pStyle w:val="xmsonormal"/>
        <w:jc w:val="both"/>
      </w:pPr>
      <w:r w:rsidRPr="006119C4">
        <w:t>Međutim,</w:t>
      </w:r>
      <w:r>
        <w:t xml:space="preserve"> </w:t>
      </w:r>
      <w:r w:rsidRPr="006119C4">
        <w:t>ovo</w:t>
      </w:r>
      <w:r>
        <w:t xml:space="preserve"> </w:t>
      </w:r>
      <w:r w:rsidRPr="006119C4">
        <w:t>načelo</w:t>
      </w:r>
      <w:r>
        <w:t xml:space="preserve"> </w:t>
      </w:r>
      <w:r w:rsidRPr="006119C4">
        <w:t>u</w:t>
      </w:r>
      <w:r>
        <w:t xml:space="preserve"> </w:t>
      </w:r>
      <w:r w:rsidRPr="006119C4">
        <w:t>priznavanju</w:t>
      </w:r>
      <w:r>
        <w:t xml:space="preserve"> </w:t>
      </w:r>
      <w:r w:rsidRPr="006119C4">
        <w:t>prihoda</w:t>
      </w:r>
      <w:r>
        <w:t xml:space="preserve"> u proračunskom računovodstvu </w:t>
      </w:r>
      <w:r w:rsidRPr="004C1B0C">
        <w:t>ne primjenjuje se na sredstva ostvarena od Europske unije.</w:t>
      </w:r>
      <w:r>
        <w:t xml:space="preserve"> </w:t>
      </w:r>
      <w:r w:rsidRPr="006119C4">
        <w:t>Sukladno</w:t>
      </w:r>
      <w:r>
        <w:t xml:space="preserve"> </w:t>
      </w:r>
      <w:r w:rsidRPr="006119C4">
        <w:t>zahtjevima</w:t>
      </w:r>
      <w:r>
        <w:t xml:space="preserve"> </w:t>
      </w:r>
      <w:r w:rsidRPr="006119C4">
        <w:t>europske</w:t>
      </w:r>
      <w:r>
        <w:t xml:space="preserve"> </w:t>
      </w:r>
      <w:r w:rsidRPr="006119C4">
        <w:t>statistike,</w:t>
      </w:r>
      <w:r>
        <w:t xml:space="preserve"> </w:t>
      </w:r>
      <w:r w:rsidRPr="004C1B0C">
        <w:rPr>
          <w:b/>
        </w:rPr>
        <w:t>pomoći od institucija i tijela EU i pomoći iz državnog proračuna temeljem prijenosa EU sredstava</w:t>
      </w:r>
      <w:r>
        <w:t xml:space="preserve"> </w:t>
      </w:r>
      <w:r w:rsidRPr="006119C4">
        <w:t>(tekuće</w:t>
      </w:r>
      <w:r>
        <w:t xml:space="preserve"> </w:t>
      </w:r>
      <w:r w:rsidRPr="006119C4">
        <w:t>i</w:t>
      </w:r>
      <w:r>
        <w:t xml:space="preserve"> </w:t>
      </w:r>
      <w:r w:rsidRPr="006119C4">
        <w:t>kapitalne)</w:t>
      </w:r>
      <w:r>
        <w:t xml:space="preserve">, </w:t>
      </w:r>
      <w:r w:rsidRPr="004C1B0C">
        <w:rPr>
          <w:b/>
        </w:rPr>
        <w:t>priznaju se u prihode izvještajnog razdoblja razmjerno troškovima provedbe ugovorenih programa i projekata</w:t>
      </w:r>
      <w:r w:rsidRPr="004C1B0C">
        <w:t>,</w:t>
      </w:r>
      <w:r>
        <w:t xml:space="preserve"> </w:t>
      </w:r>
      <w:r w:rsidRPr="006119C4">
        <w:t>kako</w:t>
      </w:r>
      <w:r>
        <w:t xml:space="preserve"> </w:t>
      </w:r>
      <w:r w:rsidRPr="006119C4">
        <w:t>je</w:t>
      </w:r>
      <w:r>
        <w:t xml:space="preserve"> </w:t>
      </w:r>
      <w:r w:rsidRPr="006119C4">
        <w:t>i</w:t>
      </w:r>
      <w:r>
        <w:t xml:space="preserve"> </w:t>
      </w:r>
      <w:r w:rsidRPr="006119C4">
        <w:t>uređeno</w:t>
      </w:r>
      <w:r>
        <w:t xml:space="preserve"> </w:t>
      </w:r>
      <w:r w:rsidRPr="006119C4">
        <w:t>čl.</w:t>
      </w:r>
      <w:r>
        <w:t xml:space="preserve"> </w:t>
      </w:r>
      <w:r w:rsidRPr="006119C4">
        <w:t>67.</w:t>
      </w:r>
      <w:r>
        <w:t xml:space="preserve"> </w:t>
      </w:r>
      <w:r w:rsidRPr="006119C4">
        <w:t>st.</w:t>
      </w:r>
      <w:r>
        <w:t xml:space="preserve"> </w:t>
      </w:r>
      <w:r w:rsidRPr="006119C4">
        <w:t>2.</w:t>
      </w:r>
      <w:r>
        <w:t xml:space="preserve"> </w:t>
      </w:r>
      <w:r w:rsidRPr="006119C4">
        <w:t>Pravilnika</w:t>
      </w:r>
      <w:r w:rsidRPr="00416B41">
        <w:t xml:space="preserve"> </w:t>
      </w:r>
      <w:r>
        <w:t>o proračunskom računovodstvu i računskom planu</w:t>
      </w:r>
      <w:r w:rsidRPr="006119C4">
        <w:t>.</w:t>
      </w:r>
      <w:r>
        <w:t xml:space="preserve"> </w:t>
      </w:r>
    </w:p>
    <w:p w:rsidR="00CD1CE4" w:rsidRDefault="00CD1CE4" w:rsidP="002D7A1F">
      <w:pPr>
        <w:rPr>
          <w:b/>
          <w:bCs/>
          <w:color w:val="000000"/>
          <w:shd w:val="clear" w:color="auto" w:fill="FFFFFF"/>
        </w:rPr>
      </w:pPr>
    </w:p>
    <w:p w:rsidR="00CD1CE4" w:rsidRDefault="00CD1CE4" w:rsidP="002D7A1F">
      <w:pPr>
        <w:jc w:val="both"/>
      </w:pPr>
      <w:r>
        <w:t>Načela</w:t>
      </w:r>
      <w:r w:rsidRPr="00C54239">
        <w:t xml:space="preserve"> </w:t>
      </w:r>
      <w:r>
        <w:t>koja se primjenjuju u računovodstvu i kod sastavljanja</w:t>
      </w:r>
      <w:r w:rsidRPr="00C54239">
        <w:t xml:space="preserve"> financijski</w:t>
      </w:r>
      <w:r>
        <w:t>h</w:t>
      </w:r>
      <w:r w:rsidRPr="00C54239">
        <w:t xml:space="preserve"> izvještaj</w:t>
      </w:r>
      <w:r>
        <w:t>a</w:t>
      </w:r>
      <w:r w:rsidRPr="00C54239">
        <w:t xml:space="preserve"> razlikuju se od</w:t>
      </w:r>
      <w:r>
        <w:rPr>
          <w:b/>
          <w:bCs/>
          <w:color w:val="000000"/>
          <w:shd w:val="clear" w:color="auto" w:fill="FFFFFF"/>
        </w:rPr>
        <w:t xml:space="preserve"> </w:t>
      </w:r>
      <w:r>
        <w:t xml:space="preserve">načela planiranja i izvršavanja državnog proračuna. </w:t>
      </w:r>
      <w:r w:rsidRPr="00AA5A6B">
        <w:t xml:space="preserve">Državni proračun planira se i izvršava </w:t>
      </w:r>
      <w:r w:rsidRPr="004C1B0C">
        <w:rPr>
          <w:b/>
        </w:rPr>
        <w:t>prema modificiranom novčanom načelu</w:t>
      </w:r>
      <w:r>
        <w:rPr>
          <w:b/>
        </w:rPr>
        <w:t xml:space="preserve">. </w:t>
      </w:r>
      <w:r w:rsidRPr="005D27F5">
        <w:t>To</w:t>
      </w:r>
      <w:r>
        <w:rPr>
          <w:b/>
        </w:rPr>
        <w:t xml:space="preserve"> </w:t>
      </w:r>
      <w:r>
        <w:t xml:space="preserve">znači da se </w:t>
      </w:r>
      <w:r w:rsidRPr="00C54239">
        <w:t xml:space="preserve">prihodi utvrđeni u </w:t>
      </w:r>
      <w:r>
        <w:t>r</w:t>
      </w:r>
      <w:r w:rsidRPr="00C54239">
        <w:t>ačunskom planu na razredima</w:t>
      </w:r>
      <w:r w:rsidRPr="00C54239">
        <w:rPr>
          <w:i/>
        </w:rPr>
        <w:t xml:space="preserve"> 6 Prihodi poslovanja</w:t>
      </w:r>
      <w:r w:rsidRPr="00C54239">
        <w:t xml:space="preserve"> i </w:t>
      </w:r>
      <w:r w:rsidRPr="00C54239">
        <w:rPr>
          <w:i/>
        </w:rPr>
        <w:t>7 Prihodi od prodaje nefinancijske imovine</w:t>
      </w:r>
      <w:r w:rsidRPr="00C54239">
        <w:t xml:space="preserve"> planiraju u izvještajnom razdoblju u kojem se očekuje njihova naplata, a iskazuju </w:t>
      </w:r>
      <w:r>
        <w:t xml:space="preserve">u izvještaju o izvršenju </w:t>
      </w:r>
      <w:r w:rsidRPr="00C54239">
        <w:t>u izvještajnom razdoblju u kojem su naplaćeni</w:t>
      </w:r>
      <w:r>
        <w:t>. Nadalje, r</w:t>
      </w:r>
      <w:r w:rsidRPr="00C54239">
        <w:t xml:space="preserve">ashodi utvrđeni u </w:t>
      </w:r>
      <w:r>
        <w:t>r</w:t>
      </w:r>
      <w:r w:rsidRPr="00C54239">
        <w:t>ačunskom planu na razredima</w:t>
      </w:r>
      <w:r w:rsidRPr="00C54239">
        <w:rPr>
          <w:i/>
        </w:rPr>
        <w:t xml:space="preserve"> 3 Rashodi poslovanja</w:t>
      </w:r>
      <w:r w:rsidRPr="00C54239">
        <w:t xml:space="preserve"> i </w:t>
      </w:r>
      <w:r w:rsidRPr="00C54239">
        <w:rPr>
          <w:i/>
        </w:rPr>
        <w:t>4 Rashodi za nabavu nefinancijske imovine</w:t>
      </w:r>
      <w:r>
        <w:t xml:space="preserve"> </w:t>
      </w:r>
      <w:r w:rsidRPr="00C54239">
        <w:t xml:space="preserve">planiraju se u izvještajnom razdoblju u kojem se očekuje njihovo plaćanje, a iskazuju u </w:t>
      </w:r>
      <w:r>
        <w:t xml:space="preserve">izvještaju o izvršenju u </w:t>
      </w:r>
      <w:r w:rsidRPr="00C54239">
        <w:t>izvještajnom razdoblju u kojem su plaćeni</w:t>
      </w:r>
      <w:r>
        <w:t xml:space="preserve">. </w:t>
      </w:r>
      <w:r w:rsidRPr="00416B41">
        <w:t>Iznimno</w:t>
      </w:r>
      <w:r>
        <w:t xml:space="preserve">, a sukladno zahtjevima europske statistike, </w:t>
      </w:r>
      <w:r w:rsidRPr="00416B41">
        <w:t>prihodi od pomoći od institucija i tijela Europske unije planiraju se i iskazuju</w:t>
      </w:r>
      <w:r>
        <w:t xml:space="preserve"> kod planiranja, ali i u izvještaju o izvršenju</w:t>
      </w:r>
      <w:r w:rsidRPr="00416B41">
        <w:t xml:space="preserve"> u razdoblju u kojem se plaćaju rashodi koji se financiraju iz tih sredstava.</w:t>
      </w:r>
    </w:p>
    <w:p w:rsidR="00CD1CE4" w:rsidRDefault="00CD1CE4" w:rsidP="002D7A1F">
      <w:pPr>
        <w:jc w:val="both"/>
      </w:pPr>
    </w:p>
    <w:p w:rsidR="00CD1CE4" w:rsidRPr="00F9759A" w:rsidRDefault="00CD1CE4" w:rsidP="002D7A1F">
      <w:pPr>
        <w:jc w:val="both"/>
      </w:pPr>
      <w:r w:rsidRPr="00F9759A">
        <w:t xml:space="preserve">Za potrebe plaćanja i izvršavanja plaćanja iz EU sredstava u državnom proračunu otvoreni su izvori financiranja s </w:t>
      </w:r>
      <w:proofErr w:type="spellStart"/>
      <w:r w:rsidRPr="00F9759A">
        <w:t>podizvorima</w:t>
      </w:r>
      <w:proofErr w:type="spellEnd"/>
      <w:r w:rsidRPr="00F9759A">
        <w:t xml:space="preserve"> kako slijedi:</w:t>
      </w:r>
    </w:p>
    <w:p w:rsidR="00CD1CE4" w:rsidRPr="00F9759A" w:rsidRDefault="00CD1CE4" w:rsidP="002D7A1F">
      <w:pPr>
        <w:jc w:val="both"/>
        <w:rPr>
          <w:i/>
        </w:rPr>
      </w:pPr>
      <w:r w:rsidRPr="00F9759A">
        <w:rPr>
          <w:i/>
        </w:rPr>
        <w:t>55 Refundacije iz pomoći EU</w:t>
      </w:r>
    </w:p>
    <w:p w:rsidR="00CD1CE4" w:rsidRPr="00F9759A" w:rsidRDefault="00CD1CE4" w:rsidP="002D7A1F">
      <w:pPr>
        <w:jc w:val="both"/>
        <w:rPr>
          <w:i/>
        </w:rPr>
      </w:pPr>
      <w:r w:rsidRPr="00F9759A">
        <w:rPr>
          <w:i/>
        </w:rPr>
        <w:tab/>
      </w:r>
      <w:r w:rsidRPr="00F9759A">
        <w:rPr>
          <w:i/>
        </w:rPr>
        <w:tab/>
        <w:t>551 Europski poljoprivredni jamstveni fond (EAGF)</w:t>
      </w:r>
    </w:p>
    <w:p w:rsidR="00CD1CE4" w:rsidRPr="00F9759A" w:rsidRDefault="00CD1CE4" w:rsidP="002D7A1F">
      <w:pPr>
        <w:jc w:val="both"/>
        <w:rPr>
          <w:i/>
        </w:rPr>
      </w:pPr>
      <w:r w:rsidRPr="00F9759A">
        <w:rPr>
          <w:i/>
        </w:rPr>
        <w:tab/>
      </w:r>
      <w:r w:rsidRPr="00F9759A">
        <w:rPr>
          <w:i/>
        </w:rPr>
        <w:tab/>
        <w:t>552 Švicarski instrument</w:t>
      </w:r>
    </w:p>
    <w:p w:rsidR="00CD1CE4" w:rsidRPr="00F9759A" w:rsidRDefault="00CD1CE4" w:rsidP="002D7A1F">
      <w:pPr>
        <w:jc w:val="both"/>
        <w:rPr>
          <w:i/>
        </w:rPr>
      </w:pPr>
      <w:r w:rsidRPr="00F9759A">
        <w:rPr>
          <w:i/>
        </w:rPr>
        <w:tab/>
      </w:r>
      <w:r w:rsidRPr="00F9759A">
        <w:rPr>
          <w:i/>
        </w:rPr>
        <w:tab/>
        <w:t>559 Ostale refundacije iz sredstava EU</w:t>
      </w:r>
    </w:p>
    <w:p w:rsidR="00CD1CE4" w:rsidRPr="00F9759A" w:rsidRDefault="00CD1CE4" w:rsidP="002D7A1F">
      <w:pPr>
        <w:jc w:val="both"/>
        <w:rPr>
          <w:i/>
        </w:rPr>
      </w:pPr>
      <w:r w:rsidRPr="00F9759A">
        <w:rPr>
          <w:i/>
        </w:rPr>
        <w:t>56 Fondovi EU</w:t>
      </w:r>
    </w:p>
    <w:p w:rsidR="00CD1CE4" w:rsidRPr="00F9759A" w:rsidRDefault="00CD1CE4" w:rsidP="002D7A1F">
      <w:pPr>
        <w:jc w:val="both"/>
        <w:rPr>
          <w:i/>
        </w:rPr>
      </w:pPr>
      <w:r w:rsidRPr="00F9759A">
        <w:rPr>
          <w:i/>
        </w:rPr>
        <w:tab/>
      </w:r>
      <w:r w:rsidRPr="00F9759A">
        <w:rPr>
          <w:i/>
        </w:rPr>
        <w:tab/>
        <w:t>561 Europski socijalni fond (ESF)</w:t>
      </w:r>
    </w:p>
    <w:p w:rsidR="00CD1CE4" w:rsidRPr="00F9759A" w:rsidRDefault="00CD1CE4" w:rsidP="002D7A1F">
      <w:pPr>
        <w:jc w:val="both"/>
        <w:rPr>
          <w:i/>
        </w:rPr>
      </w:pPr>
      <w:r w:rsidRPr="00F9759A">
        <w:rPr>
          <w:i/>
        </w:rPr>
        <w:tab/>
      </w:r>
      <w:r w:rsidRPr="00F9759A">
        <w:rPr>
          <w:i/>
        </w:rPr>
        <w:tab/>
        <w:t>562 Kohezijski fond (KF)</w:t>
      </w:r>
    </w:p>
    <w:p w:rsidR="00CD1CE4" w:rsidRPr="00F9759A" w:rsidRDefault="00CD1CE4" w:rsidP="002D7A1F">
      <w:pPr>
        <w:jc w:val="both"/>
        <w:rPr>
          <w:i/>
        </w:rPr>
      </w:pPr>
      <w:r w:rsidRPr="00F9759A">
        <w:rPr>
          <w:i/>
        </w:rPr>
        <w:tab/>
      </w:r>
      <w:r w:rsidRPr="00F9759A">
        <w:rPr>
          <w:i/>
        </w:rPr>
        <w:tab/>
        <w:t>563 Europski fond za regionalni razvoj (EFRR)</w:t>
      </w:r>
    </w:p>
    <w:p w:rsidR="00CD1CE4" w:rsidRPr="00F9759A" w:rsidRDefault="00CD1CE4" w:rsidP="002D7A1F">
      <w:pPr>
        <w:jc w:val="both"/>
        <w:rPr>
          <w:i/>
        </w:rPr>
      </w:pPr>
      <w:r w:rsidRPr="00F9759A">
        <w:rPr>
          <w:i/>
        </w:rPr>
        <w:tab/>
      </w:r>
      <w:r w:rsidRPr="00F9759A">
        <w:rPr>
          <w:i/>
        </w:rPr>
        <w:tab/>
        <w:t>564 Europski fond za pomorstvo i ribarstvo (EFPR)</w:t>
      </w:r>
    </w:p>
    <w:p w:rsidR="00CD1CE4" w:rsidRPr="00F9759A" w:rsidRDefault="00CD1CE4" w:rsidP="002D7A1F">
      <w:pPr>
        <w:jc w:val="both"/>
        <w:rPr>
          <w:i/>
        </w:rPr>
      </w:pPr>
      <w:r w:rsidRPr="00F9759A">
        <w:rPr>
          <w:i/>
        </w:rPr>
        <w:tab/>
      </w:r>
      <w:r w:rsidRPr="00F9759A">
        <w:rPr>
          <w:i/>
        </w:rPr>
        <w:tab/>
        <w:t>565 Europski poljoprivredni fond za ruralni razvoj (EPFRR)</w:t>
      </w:r>
    </w:p>
    <w:p w:rsidR="00CD1CE4" w:rsidRPr="00F9759A" w:rsidRDefault="00CD1CE4" w:rsidP="002D7A1F">
      <w:pPr>
        <w:jc w:val="both"/>
        <w:rPr>
          <w:i/>
        </w:rPr>
      </w:pPr>
      <w:r w:rsidRPr="00F9759A">
        <w:rPr>
          <w:i/>
        </w:rPr>
        <w:t>57 Ostali programi EU</w:t>
      </w:r>
    </w:p>
    <w:p w:rsidR="00CD1CE4" w:rsidRPr="00F9759A" w:rsidRDefault="00CD1CE4" w:rsidP="002D7A1F">
      <w:pPr>
        <w:jc w:val="both"/>
        <w:rPr>
          <w:i/>
        </w:rPr>
      </w:pPr>
      <w:r w:rsidRPr="00F9759A">
        <w:rPr>
          <w:i/>
        </w:rPr>
        <w:tab/>
      </w:r>
      <w:r w:rsidRPr="00F9759A">
        <w:rPr>
          <w:i/>
        </w:rPr>
        <w:tab/>
        <w:t xml:space="preserve">571 </w:t>
      </w:r>
      <w:proofErr w:type="spellStart"/>
      <w:r w:rsidRPr="00F9759A">
        <w:rPr>
          <w:i/>
        </w:rPr>
        <w:t>Schengenski</w:t>
      </w:r>
      <w:proofErr w:type="spellEnd"/>
      <w:r w:rsidRPr="00F9759A">
        <w:rPr>
          <w:i/>
        </w:rPr>
        <w:t xml:space="preserve"> instrument</w:t>
      </w:r>
    </w:p>
    <w:p w:rsidR="00CD1CE4" w:rsidRPr="00F9759A" w:rsidRDefault="00CD1CE4" w:rsidP="002D7A1F">
      <w:pPr>
        <w:jc w:val="both"/>
        <w:rPr>
          <w:i/>
        </w:rPr>
      </w:pPr>
      <w:r w:rsidRPr="00F9759A">
        <w:rPr>
          <w:i/>
        </w:rPr>
        <w:tab/>
      </w:r>
      <w:r w:rsidRPr="00F9759A">
        <w:rPr>
          <w:i/>
        </w:rPr>
        <w:tab/>
        <w:t>572 Fondovi za izbjeglice i povratak</w:t>
      </w:r>
    </w:p>
    <w:p w:rsidR="00CD1CE4" w:rsidRPr="00F9759A" w:rsidRDefault="00CD1CE4" w:rsidP="002D7A1F">
      <w:pPr>
        <w:jc w:val="both"/>
        <w:rPr>
          <w:i/>
        </w:rPr>
      </w:pPr>
      <w:r w:rsidRPr="00F9759A">
        <w:rPr>
          <w:i/>
        </w:rPr>
        <w:tab/>
      </w:r>
      <w:r w:rsidRPr="00F9759A">
        <w:rPr>
          <w:i/>
        </w:rPr>
        <w:tab/>
        <w:t>573 Instrumenti europskog gospodarskog prostora i ostali instrumenti</w:t>
      </w:r>
    </w:p>
    <w:p w:rsidR="00CD1CE4" w:rsidRPr="00F9759A" w:rsidRDefault="00CD1CE4" w:rsidP="002D7A1F">
      <w:pPr>
        <w:ind w:left="708" w:firstLine="708"/>
        <w:jc w:val="both"/>
        <w:rPr>
          <w:i/>
        </w:rPr>
      </w:pPr>
      <w:r w:rsidRPr="00F9759A">
        <w:rPr>
          <w:i/>
        </w:rPr>
        <w:t>575 Fondovi za unutarnje poslove</w:t>
      </w:r>
    </w:p>
    <w:p w:rsidR="00CD1CE4" w:rsidRPr="006119C4" w:rsidRDefault="00CD1CE4" w:rsidP="002D7A1F">
      <w:pPr>
        <w:widowControl w:val="0"/>
        <w:jc w:val="both"/>
      </w:pPr>
    </w:p>
    <w:p w:rsidR="00CD1CE4" w:rsidRDefault="00CD1CE4" w:rsidP="002D7A1F">
      <w:pPr>
        <w:pStyle w:val="xmsonormal"/>
        <w:jc w:val="both"/>
        <w:rPr>
          <w:i/>
        </w:rPr>
      </w:pPr>
      <w:r w:rsidRPr="00A43743">
        <w:lastRenderedPageBreak/>
        <w:t>Po</w:t>
      </w:r>
      <w:r>
        <w:t xml:space="preserve"> </w:t>
      </w:r>
      <w:r w:rsidRPr="00A43743">
        <w:t>primitku</w:t>
      </w:r>
      <w:r>
        <w:t xml:space="preserve"> </w:t>
      </w:r>
      <w:r w:rsidRPr="00473DB1">
        <w:rPr>
          <w:b/>
        </w:rPr>
        <w:t>sredstava strukturnih fondova na devizne račune državnog proračuna</w:t>
      </w:r>
      <w:r w:rsidRPr="00A43743">
        <w:t>,</w:t>
      </w:r>
      <w:r>
        <w:t xml:space="preserve"> </w:t>
      </w:r>
      <w:r w:rsidRPr="00A43743">
        <w:t>temeljem</w:t>
      </w:r>
      <w:r>
        <w:t xml:space="preserve"> </w:t>
      </w:r>
      <w:r w:rsidRPr="00A43743">
        <w:t>izvoda</w:t>
      </w:r>
      <w:r>
        <w:t xml:space="preserve"> </w:t>
      </w:r>
      <w:r w:rsidRPr="00A43743">
        <w:t>računa</w:t>
      </w:r>
      <w:r>
        <w:t xml:space="preserve"> </w:t>
      </w:r>
      <w:r w:rsidRPr="00A43743">
        <w:t>evidentira</w:t>
      </w:r>
      <w:r>
        <w:t xml:space="preserve"> </w:t>
      </w:r>
      <w:r w:rsidRPr="00A43743">
        <w:t>se</w:t>
      </w:r>
      <w:r>
        <w:t xml:space="preserve"> </w:t>
      </w:r>
      <w:r w:rsidRPr="00A43743">
        <w:t>obveza</w:t>
      </w:r>
      <w:r>
        <w:t xml:space="preserve"> </w:t>
      </w:r>
      <w:r w:rsidRPr="00A43743">
        <w:t>za</w:t>
      </w:r>
      <w:r>
        <w:t xml:space="preserve"> </w:t>
      </w:r>
      <w:r w:rsidRPr="00A43743">
        <w:t>primljeni</w:t>
      </w:r>
      <w:r>
        <w:t xml:space="preserve"> </w:t>
      </w:r>
      <w:r w:rsidRPr="00A43743">
        <w:t>predujam</w:t>
      </w:r>
      <w:r>
        <w:t xml:space="preserve"> </w:t>
      </w:r>
      <w:r w:rsidRPr="00A43743">
        <w:t>na</w:t>
      </w:r>
      <w:r>
        <w:t xml:space="preserve"> analitičkom računu otvorenom za svaki pojedini fond u okviru osnovnog </w:t>
      </w:r>
      <w:r w:rsidRPr="00A43743">
        <w:t>račun</w:t>
      </w:r>
      <w:r>
        <w:t xml:space="preserve">a </w:t>
      </w:r>
      <w:r w:rsidRPr="00932245">
        <w:rPr>
          <w:i/>
        </w:rPr>
        <w:t>23957</w:t>
      </w:r>
      <w:r>
        <w:t xml:space="preserve"> </w:t>
      </w:r>
      <w:r w:rsidRPr="00A43743">
        <w:rPr>
          <w:i/>
        </w:rPr>
        <w:t>Obveze</w:t>
      </w:r>
      <w:r>
        <w:rPr>
          <w:i/>
        </w:rPr>
        <w:t xml:space="preserve"> </w:t>
      </w:r>
      <w:r w:rsidRPr="00A43743">
        <w:rPr>
          <w:i/>
        </w:rPr>
        <w:t>za</w:t>
      </w:r>
      <w:r>
        <w:rPr>
          <w:i/>
        </w:rPr>
        <w:t xml:space="preserve"> </w:t>
      </w:r>
      <w:r w:rsidRPr="00A43743">
        <w:rPr>
          <w:i/>
        </w:rPr>
        <w:t>EU</w:t>
      </w:r>
      <w:r>
        <w:rPr>
          <w:i/>
        </w:rPr>
        <w:t xml:space="preserve"> </w:t>
      </w:r>
      <w:r w:rsidRPr="00A43743">
        <w:rPr>
          <w:i/>
        </w:rPr>
        <w:t>predujmove</w:t>
      </w:r>
      <w:r>
        <w:t xml:space="preserve"> </w:t>
      </w:r>
      <w:r w:rsidRPr="00A43743">
        <w:t>u</w:t>
      </w:r>
      <w:r>
        <w:t xml:space="preserve"> </w:t>
      </w:r>
      <w:r w:rsidRPr="00A43743">
        <w:t>visini</w:t>
      </w:r>
      <w:r>
        <w:t xml:space="preserve"> </w:t>
      </w:r>
      <w:r w:rsidRPr="00A43743">
        <w:t>uplaćenih</w:t>
      </w:r>
      <w:r>
        <w:t xml:space="preserve"> </w:t>
      </w:r>
      <w:r w:rsidRPr="00A43743">
        <w:t>sredstava.</w:t>
      </w:r>
      <w:r>
        <w:t xml:space="preserve"> </w:t>
      </w:r>
      <w:r w:rsidRPr="00A43743">
        <w:t>Rashodi</w:t>
      </w:r>
      <w:r>
        <w:t xml:space="preserve"> </w:t>
      </w:r>
      <w:r w:rsidRPr="00A43743">
        <w:t>se</w:t>
      </w:r>
      <w:r>
        <w:t xml:space="preserve"> </w:t>
      </w:r>
      <w:r w:rsidRPr="00A43743">
        <w:t>evidentiraju</w:t>
      </w:r>
      <w:r>
        <w:t xml:space="preserve"> </w:t>
      </w:r>
      <w:r w:rsidRPr="00A43743">
        <w:t>temeljem</w:t>
      </w:r>
      <w:r>
        <w:t xml:space="preserve"> </w:t>
      </w:r>
      <w:r w:rsidRPr="00A43743">
        <w:t>zahtjeva</w:t>
      </w:r>
      <w:r>
        <w:t xml:space="preserve"> </w:t>
      </w:r>
      <w:r w:rsidRPr="00A43743">
        <w:t>za</w:t>
      </w:r>
      <w:r>
        <w:t xml:space="preserve"> </w:t>
      </w:r>
      <w:r w:rsidRPr="00A43743">
        <w:t>plaćanje</w:t>
      </w:r>
      <w:r>
        <w:t xml:space="preserve"> </w:t>
      </w:r>
      <w:r w:rsidRPr="00A43743">
        <w:t>koje</w:t>
      </w:r>
      <w:r>
        <w:t xml:space="preserve"> </w:t>
      </w:r>
      <w:r w:rsidRPr="00A43743">
        <w:t>u</w:t>
      </w:r>
      <w:r>
        <w:t xml:space="preserve"> </w:t>
      </w:r>
      <w:r w:rsidRPr="00A43743">
        <w:t>sustav</w:t>
      </w:r>
      <w:r>
        <w:t xml:space="preserve"> </w:t>
      </w:r>
      <w:r w:rsidRPr="00A43743">
        <w:t>državne</w:t>
      </w:r>
      <w:r>
        <w:t xml:space="preserve"> </w:t>
      </w:r>
      <w:r w:rsidRPr="00A43743">
        <w:t>riznice</w:t>
      </w:r>
      <w:r>
        <w:t xml:space="preserve"> </w:t>
      </w:r>
      <w:r w:rsidRPr="00A43743">
        <w:t>unose</w:t>
      </w:r>
      <w:r>
        <w:t xml:space="preserve"> </w:t>
      </w:r>
      <w:r w:rsidRPr="00A43743">
        <w:t>korisnici</w:t>
      </w:r>
      <w:r>
        <w:t xml:space="preserve"> </w:t>
      </w:r>
      <w:r w:rsidRPr="00A43743">
        <w:t>sredstava.</w:t>
      </w:r>
      <w:r>
        <w:t xml:space="preserve"> </w:t>
      </w:r>
      <w:r w:rsidRPr="00A43743">
        <w:t>Jednom</w:t>
      </w:r>
      <w:r>
        <w:t xml:space="preserve"> </w:t>
      </w:r>
      <w:r w:rsidRPr="00A43743">
        <w:t>mjesečno,</w:t>
      </w:r>
      <w:r>
        <w:t xml:space="preserve"> </w:t>
      </w:r>
      <w:r w:rsidRPr="00A43743">
        <w:t>na</w:t>
      </w:r>
      <w:r>
        <w:t xml:space="preserve"> </w:t>
      </w:r>
      <w:r w:rsidRPr="00A43743">
        <w:t>temelju</w:t>
      </w:r>
      <w:r>
        <w:t xml:space="preserve"> </w:t>
      </w:r>
      <w:r w:rsidRPr="00A43743">
        <w:t>svih</w:t>
      </w:r>
      <w:r>
        <w:t xml:space="preserve"> </w:t>
      </w:r>
      <w:r w:rsidRPr="00A43743">
        <w:t>plaćenih</w:t>
      </w:r>
      <w:r>
        <w:t xml:space="preserve"> </w:t>
      </w:r>
      <w:r w:rsidRPr="00A43743">
        <w:t>rashoda</w:t>
      </w:r>
      <w:r>
        <w:t xml:space="preserve"> </w:t>
      </w:r>
      <w:r w:rsidRPr="00A43743">
        <w:t>po</w:t>
      </w:r>
      <w:r>
        <w:t xml:space="preserve"> </w:t>
      </w:r>
      <w:r w:rsidRPr="00A43743">
        <w:t>pojedinim</w:t>
      </w:r>
      <w:r>
        <w:t xml:space="preserve"> </w:t>
      </w:r>
      <w:r w:rsidRPr="00A43743">
        <w:t>izvorima</w:t>
      </w:r>
      <w:r>
        <w:t xml:space="preserve"> </w:t>
      </w:r>
      <w:r w:rsidRPr="00A43743">
        <w:t>financiranja,</w:t>
      </w:r>
      <w:r>
        <w:t xml:space="preserve"> </w:t>
      </w:r>
      <w:r w:rsidRPr="00A43743">
        <w:t>evidentiraju</w:t>
      </w:r>
      <w:r>
        <w:t xml:space="preserve"> </w:t>
      </w:r>
      <w:r w:rsidRPr="00A43743">
        <w:t>se</w:t>
      </w:r>
      <w:r>
        <w:t xml:space="preserve"> </w:t>
      </w:r>
      <w:r w:rsidRPr="00A43743">
        <w:t>prihodi.</w:t>
      </w:r>
      <w:r>
        <w:t xml:space="preserve"> </w:t>
      </w:r>
      <w:r w:rsidRPr="00A43743">
        <w:t>Knjiženje</w:t>
      </w:r>
      <w:r>
        <w:t xml:space="preserve"> </w:t>
      </w:r>
      <w:r w:rsidRPr="00A43743">
        <w:t>se</w:t>
      </w:r>
      <w:r>
        <w:t xml:space="preserve"> </w:t>
      </w:r>
      <w:r w:rsidRPr="00A43743">
        <w:t>provodi</w:t>
      </w:r>
      <w:r>
        <w:t xml:space="preserve"> </w:t>
      </w:r>
      <w:r w:rsidRPr="00A43743">
        <w:t>odobrenjem</w:t>
      </w:r>
      <w:r>
        <w:t xml:space="preserve"> </w:t>
      </w:r>
      <w:r w:rsidRPr="00A43743">
        <w:t>računa</w:t>
      </w:r>
      <w:r>
        <w:t xml:space="preserve"> </w:t>
      </w:r>
      <w:r w:rsidRPr="00A43743">
        <w:t>prihoda</w:t>
      </w:r>
      <w:r>
        <w:t xml:space="preserve"> </w:t>
      </w:r>
      <w:r w:rsidRPr="00932245">
        <w:rPr>
          <w:i/>
        </w:rPr>
        <w:t>6323</w:t>
      </w:r>
      <w:r>
        <w:t xml:space="preserve"> </w:t>
      </w:r>
      <w:r w:rsidRPr="00A43743">
        <w:rPr>
          <w:i/>
        </w:rPr>
        <w:t>Tekuće</w:t>
      </w:r>
      <w:r>
        <w:rPr>
          <w:i/>
        </w:rPr>
        <w:t xml:space="preserve"> </w:t>
      </w:r>
      <w:r w:rsidRPr="00A43743">
        <w:rPr>
          <w:i/>
        </w:rPr>
        <w:t>pomoći</w:t>
      </w:r>
      <w:r>
        <w:rPr>
          <w:i/>
        </w:rPr>
        <w:t xml:space="preserve"> </w:t>
      </w:r>
      <w:r w:rsidRPr="00A43743">
        <w:rPr>
          <w:i/>
        </w:rPr>
        <w:t>od</w:t>
      </w:r>
      <w:r>
        <w:rPr>
          <w:i/>
        </w:rPr>
        <w:t xml:space="preserve"> </w:t>
      </w:r>
      <w:r w:rsidRPr="00A43743">
        <w:rPr>
          <w:i/>
        </w:rPr>
        <w:t>institucija</w:t>
      </w:r>
      <w:r>
        <w:rPr>
          <w:i/>
        </w:rPr>
        <w:t xml:space="preserve"> </w:t>
      </w:r>
      <w:r w:rsidRPr="00A43743">
        <w:rPr>
          <w:i/>
        </w:rPr>
        <w:t>i</w:t>
      </w:r>
      <w:r>
        <w:rPr>
          <w:i/>
        </w:rPr>
        <w:t xml:space="preserve"> </w:t>
      </w:r>
      <w:r w:rsidRPr="00A43743">
        <w:rPr>
          <w:i/>
        </w:rPr>
        <w:t>tijela</w:t>
      </w:r>
      <w:r>
        <w:rPr>
          <w:i/>
        </w:rPr>
        <w:t xml:space="preserve"> </w:t>
      </w:r>
      <w:r w:rsidRPr="00A43743">
        <w:rPr>
          <w:i/>
        </w:rPr>
        <w:t>EU</w:t>
      </w:r>
      <w:r>
        <w:t xml:space="preserve"> </w:t>
      </w:r>
      <w:r w:rsidRPr="00A43743">
        <w:t>ili</w:t>
      </w:r>
      <w:r>
        <w:t xml:space="preserve"> </w:t>
      </w:r>
      <w:r w:rsidRPr="00932245">
        <w:rPr>
          <w:i/>
        </w:rPr>
        <w:t>6324</w:t>
      </w:r>
      <w:r>
        <w:t xml:space="preserve"> </w:t>
      </w:r>
      <w:r w:rsidRPr="00A43743">
        <w:rPr>
          <w:i/>
        </w:rPr>
        <w:t>Kapitalne</w:t>
      </w:r>
      <w:r>
        <w:rPr>
          <w:i/>
        </w:rPr>
        <w:t xml:space="preserve"> </w:t>
      </w:r>
      <w:r w:rsidRPr="00A43743">
        <w:rPr>
          <w:i/>
        </w:rPr>
        <w:t>pomoći</w:t>
      </w:r>
      <w:r>
        <w:rPr>
          <w:i/>
        </w:rPr>
        <w:t xml:space="preserve"> </w:t>
      </w:r>
      <w:r w:rsidRPr="00A43743">
        <w:rPr>
          <w:i/>
        </w:rPr>
        <w:t>od</w:t>
      </w:r>
      <w:r>
        <w:rPr>
          <w:i/>
        </w:rPr>
        <w:t xml:space="preserve"> </w:t>
      </w:r>
      <w:r w:rsidRPr="00A43743">
        <w:rPr>
          <w:i/>
        </w:rPr>
        <w:t>institucija</w:t>
      </w:r>
      <w:r>
        <w:rPr>
          <w:i/>
        </w:rPr>
        <w:t xml:space="preserve"> </w:t>
      </w:r>
      <w:r w:rsidRPr="00A43743">
        <w:rPr>
          <w:i/>
        </w:rPr>
        <w:t>i</w:t>
      </w:r>
      <w:r>
        <w:rPr>
          <w:i/>
        </w:rPr>
        <w:t xml:space="preserve"> </w:t>
      </w:r>
      <w:r w:rsidRPr="00A43743">
        <w:rPr>
          <w:i/>
        </w:rPr>
        <w:t>tijela</w:t>
      </w:r>
      <w:r>
        <w:rPr>
          <w:i/>
        </w:rPr>
        <w:t xml:space="preserve"> </w:t>
      </w:r>
      <w:r w:rsidRPr="00A43743">
        <w:rPr>
          <w:i/>
        </w:rPr>
        <w:t>EU</w:t>
      </w:r>
      <w:r w:rsidRPr="00A43743">
        <w:t>,</w:t>
      </w:r>
      <w:r>
        <w:t xml:space="preserve"> </w:t>
      </w:r>
      <w:r w:rsidRPr="00A43743">
        <w:t>uz</w:t>
      </w:r>
      <w:r>
        <w:t xml:space="preserve"> </w:t>
      </w:r>
      <w:r w:rsidRPr="00A43743">
        <w:t>zaduženje</w:t>
      </w:r>
      <w:r>
        <w:t xml:space="preserve"> </w:t>
      </w:r>
      <w:r w:rsidRPr="00A43743">
        <w:t>analitičkog</w:t>
      </w:r>
      <w:r>
        <w:t xml:space="preserve"> </w:t>
      </w:r>
      <w:r w:rsidRPr="00A43743">
        <w:t>računa</w:t>
      </w:r>
      <w:r>
        <w:t xml:space="preserve"> </w:t>
      </w:r>
      <w:r w:rsidRPr="00A43743">
        <w:t>obveza</w:t>
      </w:r>
      <w:r>
        <w:t xml:space="preserve"> </w:t>
      </w:r>
      <w:r w:rsidRPr="00932245">
        <w:rPr>
          <w:i/>
        </w:rPr>
        <w:t>23957</w:t>
      </w:r>
      <w:r>
        <w:t xml:space="preserve"> </w:t>
      </w:r>
      <w:r w:rsidRPr="00A43743">
        <w:rPr>
          <w:i/>
        </w:rPr>
        <w:t>Obveze</w:t>
      </w:r>
      <w:r>
        <w:rPr>
          <w:i/>
        </w:rPr>
        <w:t xml:space="preserve"> </w:t>
      </w:r>
      <w:r w:rsidRPr="00A43743">
        <w:rPr>
          <w:i/>
        </w:rPr>
        <w:t>za</w:t>
      </w:r>
      <w:r>
        <w:rPr>
          <w:i/>
        </w:rPr>
        <w:t xml:space="preserve"> </w:t>
      </w:r>
      <w:r w:rsidRPr="00A43743">
        <w:rPr>
          <w:i/>
        </w:rPr>
        <w:t>EU</w:t>
      </w:r>
      <w:r>
        <w:rPr>
          <w:i/>
        </w:rPr>
        <w:t xml:space="preserve"> </w:t>
      </w:r>
      <w:r w:rsidRPr="00A43743">
        <w:rPr>
          <w:i/>
        </w:rPr>
        <w:t>predujmove.</w:t>
      </w:r>
    </w:p>
    <w:p w:rsidR="00CD1CE4" w:rsidRDefault="00CD1CE4" w:rsidP="002D7A1F">
      <w:pPr>
        <w:pStyle w:val="xmsonormal"/>
        <w:jc w:val="both"/>
        <w:rPr>
          <w:i/>
        </w:rPr>
      </w:pPr>
    </w:p>
    <w:p w:rsidR="00CD1CE4" w:rsidRDefault="00CD1CE4" w:rsidP="002D7A1F">
      <w:pPr>
        <w:jc w:val="both"/>
      </w:pPr>
      <w:r>
        <w:t>A</w:t>
      </w:r>
      <w:r w:rsidRPr="0097041A">
        <w:t xml:space="preserve">ko provođenjem EU projekata nastane više rashoda nego što je ostvareno predujmova, razlika se iskazuje na računu </w:t>
      </w:r>
      <w:r w:rsidRPr="0097041A">
        <w:rPr>
          <w:i/>
        </w:rPr>
        <w:t>19211 Nedospjela naplata prihoda</w:t>
      </w:r>
      <w:r w:rsidRPr="0097041A">
        <w:t>. Na dan 31. prosinca 2019. na navedenom računu evidentirano je 2.606.697.303,28 kuna.</w:t>
      </w:r>
      <w:r>
        <w:t xml:space="preserve"> </w:t>
      </w:r>
    </w:p>
    <w:p w:rsidR="00CD1CE4" w:rsidRDefault="00CD1CE4" w:rsidP="002D7A1F">
      <w:pPr>
        <w:jc w:val="both"/>
      </w:pPr>
    </w:p>
    <w:p w:rsidR="00CD1CE4" w:rsidRPr="00E81BC2" w:rsidRDefault="00CD1CE4" w:rsidP="002D7A1F">
      <w:pPr>
        <w:jc w:val="both"/>
      </w:pPr>
      <w:r w:rsidRPr="00E81BC2">
        <w:t xml:space="preserve">Izvor financiranja </w:t>
      </w:r>
      <w:r w:rsidRPr="00E81BC2">
        <w:rPr>
          <w:b/>
        </w:rPr>
        <w:t xml:space="preserve">55 Refundacije iz pomoći EU </w:t>
      </w:r>
      <w:r w:rsidRPr="00E81BC2">
        <w:t>koristi se kod EU projekata koji se prvotno financiraju iz nacionalnih sredstava, a nakon odobravanja isplaćenih troškova projekta, EU sredstva se refundiraju u visini priznatih troškova. Iz ovog izvora financiraju se projekti u području poljoprivrede (izravna plaćanja poljoprivrednim proizvođačima, mjere uređenja tržišta poljoprivrednih proizvoda), projekti koje provodi Državni zavod za statistiku u statističkim programima Europske komisije, neki projekti prekogranične suradnje i drugo.</w:t>
      </w:r>
    </w:p>
    <w:p w:rsidR="00CD1CE4" w:rsidRPr="00E81BC2" w:rsidRDefault="00CD1CE4" w:rsidP="002D7A1F">
      <w:pPr>
        <w:jc w:val="both"/>
      </w:pPr>
    </w:p>
    <w:p w:rsidR="00CD1CE4" w:rsidRPr="00E81BC2" w:rsidRDefault="00CD1CE4" w:rsidP="002D7A1F">
      <w:pPr>
        <w:jc w:val="both"/>
      </w:pPr>
      <w:r w:rsidRPr="00E81BC2">
        <w:t>Rashodi financirani iz ovih izvora u sustavu državne riznice evidentiraju se temeljem zahtjeva za plaćanje koje u sustav državne riznice unose proračunski korisnici. Istovremeno</w:t>
      </w:r>
      <w:r>
        <w:t>,</w:t>
      </w:r>
      <w:r w:rsidRPr="00E81BC2">
        <w:t xml:space="preserve"> </w:t>
      </w:r>
      <w:r>
        <w:t>proračunski korisnici e</w:t>
      </w:r>
      <w:r w:rsidRPr="00E81BC2">
        <w:t>videntiraju</w:t>
      </w:r>
      <w:r>
        <w:t xml:space="preserve"> u svojim glavnim knjigama</w:t>
      </w:r>
      <w:r w:rsidRPr="00E81BC2">
        <w:t xml:space="preserve"> potraživanja na računima </w:t>
      </w:r>
      <w:r w:rsidRPr="00E81BC2">
        <w:rPr>
          <w:i/>
        </w:rPr>
        <w:t>16323</w:t>
      </w:r>
      <w:r w:rsidRPr="00E81BC2">
        <w:t xml:space="preserve"> </w:t>
      </w:r>
      <w:r w:rsidRPr="00E81BC2">
        <w:rPr>
          <w:i/>
        </w:rPr>
        <w:t>Potraživanja za tekuće pomoći od institucija i tijela EU,</w:t>
      </w:r>
      <w:r w:rsidRPr="00E81BC2">
        <w:t xml:space="preserve"> odnosno </w:t>
      </w:r>
      <w:r w:rsidRPr="00E81BC2">
        <w:rPr>
          <w:i/>
        </w:rPr>
        <w:t>16324</w:t>
      </w:r>
      <w:r w:rsidRPr="00E81BC2">
        <w:t xml:space="preserve"> </w:t>
      </w:r>
      <w:r w:rsidRPr="00E81BC2">
        <w:rPr>
          <w:i/>
        </w:rPr>
        <w:t>Potraživanja za kapitalne pomoći od institucija i tijela EU</w:t>
      </w:r>
      <w:r w:rsidRPr="00E81BC2">
        <w:t xml:space="preserve">, uz odobrenje računa obračunatih prihoda na odgovarajućem računu odjeljka </w:t>
      </w:r>
      <w:r w:rsidRPr="00E81BC2">
        <w:rPr>
          <w:i/>
        </w:rPr>
        <w:t>9632</w:t>
      </w:r>
      <w:r w:rsidRPr="00E81BC2">
        <w:t xml:space="preserve"> </w:t>
      </w:r>
      <w:r w:rsidRPr="00E81BC2">
        <w:rPr>
          <w:i/>
        </w:rPr>
        <w:t>Pomoći od međunarodnih organizacija te institucija i tijela EU</w:t>
      </w:r>
      <w:r w:rsidRPr="00E81BC2">
        <w:t>.</w:t>
      </w:r>
      <w:r>
        <w:t xml:space="preserve"> </w:t>
      </w:r>
    </w:p>
    <w:p w:rsidR="00CD1CE4" w:rsidRDefault="00CD1CE4" w:rsidP="002D7A1F">
      <w:pPr>
        <w:jc w:val="both"/>
      </w:pPr>
    </w:p>
    <w:p w:rsidR="00CD1CE4" w:rsidRPr="00E81BC2" w:rsidRDefault="00CD1CE4" w:rsidP="002D7A1F">
      <w:pPr>
        <w:jc w:val="both"/>
      </w:pPr>
      <w:r w:rsidRPr="00E81BC2">
        <w:t xml:space="preserve">Refundacija sredstava na račun državnog proračuna u sustavu državne riznice evidentira se kao prihod od EU u okviru odjeljaka </w:t>
      </w:r>
      <w:r w:rsidRPr="00E81BC2">
        <w:rPr>
          <w:i/>
        </w:rPr>
        <w:t>6323</w:t>
      </w:r>
      <w:r w:rsidRPr="00E81BC2">
        <w:t xml:space="preserve"> </w:t>
      </w:r>
      <w:r w:rsidRPr="00E81BC2">
        <w:rPr>
          <w:i/>
        </w:rPr>
        <w:t>Tekuće pomoći od institucija i tijela EU</w:t>
      </w:r>
      <w:r w:rsidRPr="00E81BC2">
        <w:t xml:space="preserve"> ili </w:t>
      </w:r>
      <w:r w:rsidRPr="00E81BC2">
        <w:rPr>
          <w:i/>
        </w:rPr>
        <w:t>6324</w:t>
      </w:r>
      <w:r w:rsidRPr="00E81BC2">
        <w:t xml:space="preserve"> </w:t>
      </w:r>
      <w:r w:rsidRPr="00E81BC2">
        <w:rPr>
          <w:i/>
        </w:rPr>
        <w:t>Kapitalne pomoći od institucija i tijela EU</w:t>
      </w:r>
      <w:r w:rsidRPr="00E81BC2">
        <w:t xml:space="preserve"> i to na korisnika za kojeg je uplaćena refundacija, uz istovremeno zatvaranje potraživanja i obračunatog prihoda.</w:t>
      </w:r>
    </w:p>
    <w:p w:rsidR="00CD1CE4" w:rsidRDefault="00CD1CE4" w:rsidP="002D7A1F">
      <w:pPr>
        <w:jc w:val="both"/>
        <w:rPr>
          <w:highlight w:val="yellow"/>
        </w:rPr>
      </w:pPr>
    </w:p>
    <w:p w:rsidR="00CD1CE4" w:rsidRPr="002B4320" w:rsidRDefault="00CD1CE4" w:rsidP="002D7A1F">
      <w:pPr>
        <w:jc w:val="both"/>
        <w:rPr>
          <w:highlight w:val="yellow"/>
        </w:rPr>
      </w:pPr>
    </w:p>
    <w:p w:rsidR="00CD1CE4" w:rsidRPr="00D610C4" w:rsidRDefault="00CD1CE4" w:rsidP="002D7A1F">
      <w:pPr>
        <w:jc w:val="both"/>
        <w:outlineLvl w:val="0"/>
        <w:rPr>
          <w:b/>
          <w:bCs/>
        </w:rPr>
      </w:pPr>
      <w:r w:rsidRPr="00D610C4">
        <w:rPr>
          <w:b/>
          <w:bCs/>
        </w:rPr>
        <w:t>Rashodi po funkcijskoj klasifikaciji</w:t>
      </w:r>
    </w:p>
    <w:p w:rsidR="00CD1CE4" w:rsidRPr="00D610C4" w:rsidRDefault="00CD1CE4" w:rsidP="002D7A1F">
      <w:pPr>
        <w:jc w:val="both"/>
        <w:rPr>
          <w:b/>
        </w:rPr>
      </w:pPr>
    </w:p>
    <w:p w:rsidR="00CD1CE4" w:rsidRPr="00D610C4" w:rsidRDefault="00CD1CE4" w:rsidP="002D7A1F">
      <w:pPr>
        <w:jc w:val="both"/>
        <w:rPr>
          <w:color w:val="000000"/>
        </w:rPr>
      </w:pPr>
      <w:r w:rsidRPr="00D610C4">
        <w:t xml:space="preserve">Sa ciljem povećanja transparentnosti korištenja proračunskih sredstava prema namjeni, u </w:t>
      </w:r>
      <w:r w:rsidRPr="00D610C4">
        <w:rPr>
          <w:color w:val="000000"/>
        </w:rPr>
        <w:t>nastavku se u okviru godišnjeg izvještaja o izvršenju državnog proračuna daje prikaz rashoda po funkcijskoj klasifikaciji. Brojčane oznake i nazivi funkcijske klasifikacije preuzeti su iz međunarodne klasifikacije funkcija države (COFOG) Ujedinjenih naroda – Klasifikacija rashoda u skladu s namjenom.</w:t>
      </w:r>
    </w:p>
    <w:p w:rsidR="00CD1CE4" w:rsidRPr="002B4320" w:rsidRDefault="00CD1CE4" w:rsidP="002D7A1F">
      <w:pPr>
        <w:jc w:val="both"/>
        <w:rPr>
          <w:highlight w:val="yellow"/>
        </w:rPr>
      </w:pPr>
    </w:p>
    <w:p w:rsidR="00CD1CE4" w:rsidRPr="00792DE8" w:rsidRDefault="00CD1CE4" w:rsidP="002D7A1F">
      <w:pPr>
        <w:jc w:val="both"/>
        <w:outlineLvl w:val="0"/>
        <w:rPr>
          <w:bCs/>
        </w:rPr>
      </w:pPr>
      <w:r w:rsidRPr="00792DE8">
        <w:rPr>
          <w:bCs/>
        </w:rPr>
        <w:t>U 2019. godini najveći udio rashoda državnog proračuna prema funkcijskoj klasifikaciji odnosi se na socijalnu zaštitu 37,4%, nakon čega slijede rashodi za opće javne usluge 14,0%.</w:t>
      </w:r>
    </w:p>
    <w:p w:rsidR="00CD1CE4" w:rsidRPr="002B4320" w:rsidRDefault="00CD1CE4" w:rsidP="002D7A1F">
      <w:pPr>
        <w:jc w:val="both"/>
        <w:outlineLvl w:val="0"/>
        <w:rPr>
          <w:b/>
          <w:highlight w:val="yellow"/>
        </w:rPr>
      </w:pPr>
    </w:p>
    <w:p w:rsidR="00CD1CE4" w:rsidRPr="002D7A1F" w:rsidRDefault="00CD1CE4" w:rsidP="002D7A1F">
      <w:pPr>
        <w:keepNext/>
        <w:jc w:val="both"/>
        <w:outlineLvl w:val="0"/>
        <w:rPr>
          <w:i/>
        </w:rPr>
      </w:pPr>
      <w:r w:rsidRPr="002D7A1F">
        <w:rPr>
          <w:i/>
        </w:rPr>
        <w:lastRenderedPageBreak/>
        <w:t>Graf</w:t>
      </w:r>
      <w:r w:rsidR="002D7A1F">
        <w:rPr>
          <w:i/>
        </w:rPr>
        <w:t>ikon</w:t>
      </w:r>
      <w:r w:rsidRPr="002D7A1F">
        <w:rPr>
          <w:i/>
        </w:rPr>
        <w:t xml:space="preserve"> </w:t>
      </w:r>
      <w:r w:rsidR="002D7A1F">
        <w:rPr>
          <w:i/>
        </w:rPr>
        <w:t>3</w:t>
      </w:r>
      <w:r w:rsidRPr="002D7A1F">
        <w:rPr>
          <w:i/>
        </w:rPr>
        <w:t>. Rashodi po funkcijskoj klasifikaciji</w:t>
      </w:r>
    </w:p>
    <w:p w:rsidR="00CD1CE4" w:rsidRPr="002B4320" w:rsidRDefault="0092324A" w:rsidP="002D7A1F">
      <w:pPr>
        <w:keepNext/>
        <w:jc w:val="both"/>
        <w:rPr>
          <w:highlight w:val="yellow"/>
        </w:rPr>
      </w:pPr>
      <w:r>
        <w:rPr>
          <w:noProof/>
        </w:rPr>
        <w:drawing>
          <wp:inline distT="0" distB="0" distL="0" distR="0" wp14:anchorId="18AFF33B" wp14:editId="3112CBEB">
            <wp:extent cx="5759450" cy="3219450"/>
            <wp:effectExtent l="0" t="0" r="12700" b="19050"/>
            <wp:docPr id="12"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D1CE4" w:rsidRDefault="00CD1CE4" w:rsidP="002D7A1F">
      <w:pPr>
        <w:rPr>
          <w:b/>
          <w:bCs/>
        </w:rPr>
      </w:pPr>
    </w:p>
    <w:p w:rsidR="00CD1CE4" w:rsidRPr="002D7A1F" w:rsidRDefault="00CD1CE4" w:rsidP="002D7A1F">
      <w:pPr>
        <w:keepNext/>
        <w:rPr>
          <w:bCs/>
          <w:i/>
        </w:rPr>
      </w:pPr>
      <w:r w:rsidRPr="002D7A1F">
        <w:rPr>
          <w:bCs/>
          <w:i/>
        </w:rPr>
        <w:lastRenderedPageBreak/>
        <w:t>Tablica 1</w:t>
      </w:r>
      <w:r w:rsidR="00E3159C">
        <w:rPr>
          <w:bCs/>
          <w:i/>
        </w:rPr>
        <w:t>1</w:t>
      </w:r>
      <w:r w:rsidRPr="002D7A1F">
        <w:rPr>
          <w:bCs/>
          <w:i/>
        </w:rPr>
        <w:t>. Rashodi iskazani po namjenama -  funkcijskoj klasifikaciji</w:t>
      </w:r>
    </w:p>
    <w:p w:rsidR="00CD1CE4" w:rsidRPr="007736B4" w:rsidRDefault="0092324A" w:rsidP="002D7A1F">
      <w:pPr>
        <w:rPr>
          <w:b/>
          <w:bCs/>
          <w:sz w:val="28"/>
          <w:szCs w:val="28"/>
        </w:rPr>
      </w:pPr>
      <w:r>
        <w:rPr>
          <w:noProof/>
        </w:rPr>
        <w:drawing>
          <wp:inline distT="0" distB="0" distL="0" distR="0" wp14:anchorId="3925B3AA" wp14:editId="766A4A8F">
            <wp:extent cx="5505450" cy="849630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05450" cy="8496300"/>
                    </a:xfrm>
                    <a:prstGeom prst="rect">
                      <a:avLst/>
                    </a:prstGeom>
                    <a:noFill/>
                    <a:ln>
                      <a:noFill/>
                    </a:ln>
                  </pic:spPr>
                </pic:pic>
              </a:graphicData>
            </a:graphic>
          </wp:inline>
        </w:drawing>
      </w:r>
    </w:p>
    <w:p w:rsidR="002D7A1F" w:rsidRDefault="002D7A1F" w:rsidP="002D7A1F">
      <w:pPr>
        <w:jc w:val="both"/>
        <w:rPr>
          <w:b/>
        </w:rPr>
      </w:pPr>
    </w:p>
    <w:p w:rsidR="00CD1CE4" w:rsidRPr="00621592" w:rsidRDefault="00CD1CE4" w:rsidP="002D7A1F">
      <w:pPr>
        <w:jc w:val="both"/>
        <w:rPr>
          <w:b/>
        </w:rPr>
      </w:pPr>
      <w:r w:rsidRPr="00621592">
        <w:rPr>
          <w:b/>
        </w:rPr>
        <w:lastRenderedPageBreak/>
        <w:t>Dospjele nepodmirene obveze proračunskih korisnika državnog proračuna</w:t>
      </w:r>
    </w:p>
    <w:p w:rsidR="002D7A1F" w:rsidRDefault="002D7A1F" w:rsidP="002D7A1F">
      <w:pPr>
        <w:jc w:val="both"/>
      </w:pPr>
    </w:p>
    <w:p w:rsidR="00CD1CE4" w:rsidRPr="002B4320" w:rsidRDefault="00CD1CE4" w:rsidP="002D7A1F">
      <w:pPr>
        <w:jc w:val="both"/>
        <w:rPr>
          <w:b/>
          <w:highlight w:val="yellow"/>
        </w:rPr>
      </w:pPr>
      <w:r w:rsidRPr="007736B4">
        <w:t>U tablici 1</w:t>
      </w:r>
      <w:r w:rsidR="00E3159C">
        <w:t>2</w:t>
      </w:r>
      <w:r w:rsidRPr="007736B4">
        <w:t>. iskazano je stanje dospjelih nepodmirenih obveza ministarstava i drugih državnih tijela na razini razdjela organizacijske klasifikacije s danom 31. prosinca 2019. godine. Ukupne dospjele nepodmirene obveze proračunskih korisnika državnog proračuna iznosile su 2,5 milijardi kuna.</w:t>
      </w:r>
      <w:bookmarkStart w:id="8" w:name="_Toc445299435"/>
      <w:r w:rsidRPr="007736B4">
        <w:rPr>
          <w:b/>
        </w:rPr>
        <w:t xml:space="preserve"> </w:t>
      </w:r>
    </w:p>
    <w:p w:rsidR="00CD1CE4" w:rsidRPr="002B4320" w:rsidRDefault="00CD1CE4" w:rsidP="002D7A1F">
      <w:pPr>
        <w:rPr>
          <w:b/>
          <w:highlight w:val="yellow"/>
        </w:rPr>
      </w:pPr>
    </w:p>
    <w:p w:rsidR="00CD1CE4" w:rsidRPr="002D7A1F" w:rsidRDefault="00CD1CE4" w:rsidP="002D7A1F">
      <w:pPr>
        <w:rPr>
          <w:bCs/>
          <w:i/>
        </w:rPr>
      </w:pPr>
      <w:r w:rsidRPr="002D7A1F">
        <w:rPr>
          <w:bCs/>
          <w:i/>
        </w:rPr>
        <w:t>Tablica 1</w:t>
      </w:r>
      <w:r w:rsidR="00E3159C">
        <w:rPr>
          <w:bCs/>
          <w:i/>
        </w:rPr>
        <w:t>2</w:t>
      </w:r>
      <w:r w:rsidRPr="002D7A1F">
        <w:rPr>
          <w:bCs/>
          <w:i/>
        </w:rPr>
        <w:t>. Dospjele nepodmirene obveze proračunskih korisnika državnog proračun</w:t>
      </w:r>
      <w:bookmarkEnd w:id="8"/>
      <w:r w:rsidRPr="002D7A1F">
        <w:rPr>
          <w:bCs/>
          <w:i/>
        </w:rPr>
        <w:t>a</w:t>
      </w:r>
    </w:p>
    <w:tbl>
      <w:tblPr>
        <w:tblW w:w="9209" w:type="dxa"/>
        <w:tblInd w:w="113" w:type="dxa"/>
        <w:tblLook w:val="04A0" w:firstRow="1" w:lastRow="0" w:firstColumn="1" w:lastColumn="0" w:noHBand="0" w:noVBand="1"/>
      </w:tblPr>
      <w:tblGrid>
        <w:gridCol w:w="980"/>
        <w:gridCol w:w="7060"/>
        <w:gridCol w:w="1169"/>
      </w:tblGrid>
      <w:tr w:rsidR="00CD1CE4" w:rsidTr="00BF25F0">
        <w:trPr>
          <w:trHeight w:val="408"/>
        </w:trPr>
        <w:tc>
          <w:tcPr>
            <w:tcW w:w="98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CD1CE4" w:rsidRDefault="00CD1CE4" w:rsidP="002D7A1F">
            <w:pPr>
              <w:rPr>
                <w:b/>
                <w:bCs/>
                <w:color w:val="000000"/>
                <w:sz w:val="16"/>
                <w:szCs w:val="16"/>
              </w:rPr>
            </w:pPr>
            <w:r>
              <w:rPr>
                <w:b/>
                <w:bCs/>
                <w:color w:val="000000"/>
                <w:sz w:val="16"/>
                <w:szCs w:val="16"/>
              </w:rPr>
              <w:t>RAZDJEL</w:t>
            </w:r>
          </w:p>
        </w:tc>
        <w:tc>
          <w:tcPr>
            <w:tcW w:w="7060" w:type="dxa"/>
            <w:tcBorders>
              <w:top w:val="single" w:sz="4" w:space="0" w:color="auto"/>
              <w:left w:val="nil"/>
              <w:bottom w:val="single" w:sz="4" w:space="0" w:color="auto"/>
              <w:right w:val="single" w:sz="4" w:space="0" w:color="auto"/>
            </w:tcBorders>
            <w:shd w:val="clear" w:color="000000" w:fill="BDD7EE"/>
            <w:noWrap/>
            <w:vAlign w:val="center"/>
            <w:hideMark/>
          </w:tcPr>
          <w:p w:rsidR="00CD1CE4" w:rsidRDefault="00CD1CE4" w:rsidP="002D7A1F">
            <w:pPr>
              <w:jc w:val="center"/>
              <w:rPr>
                <w:b/>
                <w:bCs/>
                <w:sz w:val="16"/>
                <w:szCs w:val="16"/>
              </w:rPr>
            </w:pPr>
            <w:r>
              <w:rPr>
                <w:b/>
                <w:bCs/>
                <w:sz w:val="16"/>
                <w:szCs w:val="16"/>
              </w:rPr>
              <w:t>NAZIV</w:t>
            </w:r>
          </w:p>
        </w:tc>
        <w:tc>
          <w:tcPr>
            <w:tcW w:w="1169" w:type="dxa"/>
            <w:tcBorders>
              <w:top w:val="single" w:sz="4" w:space="0" w:color="auto"/>
              <w:left w:val="nil"/>
              <w:bottom w:val="single" w:sz="4" w:space="0" w:color="auto"/>
              <w:right w:val="single" w:sz="4" w:space="0" w:color="auto"/>
            </w:tcBorders>
            <w:shd w:val="clear" w:color="000000" w:fill="BDD7EE"/>
            <w:vAlign w:val="center"/>
            <w:hideMark/>
          </w:tcPr>
          <w:p w:rsidR="00CD1CE4" w:rsidRDefault="00CD1CE4" w:rsidP="002D7A1F">
            <w:pPr>
              <w:jc w:val="center"/>
              <w:rPr>
                <w:b/>
                <w:bCs/>
                <w:color w:val="000000"/>
                <w:sz w:val="16"/>
                <w:szCs w:val="16"/>
              </w:rPr>
            </w:pPr>
            <w:r>
              <w:rPr>
                <w:b/>
                <w:bCs/>
                <w:color w:val="000000"/>
                <w:sz w:val="16"/>
                <w:szCs w:val="16"/>
              </w:rPr>
              <w:t>DOSPJELE OBVEZE 31.12.2019.</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010</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HRVATSKI SABOR</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0</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012</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DRŽAVNO IZBORNO POVJERENSTVO REPUBLIKE HRVATSKE</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15.546</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015</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URED PREDSJEDNICE REPUBLIKE HRVATSKE</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0</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017</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USTAVNI SUD REPUBLIKE HRVATSKE</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0</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018</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AGENCIJA ZA ZAŠTITU TRŽIŠNOG NATJECANJA</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0</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020</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VLADA REPUBLIKE HRVATSKE</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5.001</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025</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MINISTARSTVO FINANCIJA</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0</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027</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RH SIGURNOSNO-OBAVJEŠTAJNA AGENCIJA</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68.428</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028</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SREDIŠNJI DRŽAVNI URED ZA SREDIŠNJU JAVNU NABAVU</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0</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030</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MINISTARSTVO OBRANE REPUBLIKE HRVATSKE</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4.808.636</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032</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SREDIŠNJI DRŽAVNI URED ZA HRVATE IZVAN REPUBLIKE HRVATSKE</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8.730</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033</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SREDIŠNJI DRŽAVNI URED ZA OBNOVU I STAMBENO ZBRINJAVANJE</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372.220</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034</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SREDIŠNJI DRŽAVNI URED ZA RAZVOJ DIGITALNOG DRUŠTVA</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2.736</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036</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SREDIŠNJI DRŽAVNI URED ZA ŠPORT</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0</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040</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MINISTARSTVO UNUTARNJIH POSLOVA</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65.305.808</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041</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MINISTARSTVO HRVATSKIH BRANITELJA</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0</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048</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MINISTARSTVO VANJSKIH I EUROPSKIH POSLOVA</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86.128</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049</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MINISTARSTVO GOSPODARSTVA, PODUZETNIŠTVA I OBRTA</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56.189</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052</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POVJERENSTVO ZA ODLUČIVANJE O SUKOBU INTERESA</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0</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054</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MINISTARSTVO DRŽAVNE IMOVINE</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381</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055</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MINISTARSTVO KULTURE</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3.561.229</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060</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MINISTARSTVO POLJOPRIVREDE</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73.189.149</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061</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MINISTARSTVO REGIONALNOGA RAZVOJA I FONDOVA EUROPSKE UNIJE</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0</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065</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MINISTARSTVO MORA, PROMETA I INFRASTRUKTURE</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125.540.914</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076</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MINISTARSTVO GRADITELJSTVA I PROSTORNOGA UREĐENJA</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120.000</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077</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MINISTARSTVO ZAŠTITE OKOLIŠA I ENERGETIKE</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10.011.331</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080</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MINISTARSTVO ZNANOSTI I OBRAZOVANJA</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69.131.463</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086</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MINISTARSTVO RADA I MIROVINSKOGA SUSTAVA</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1.204.057</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090</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MINISTARSTVO TURIZMA</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0</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095</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MINISTARSTVO UPRAVE</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251.491</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096</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MINISTARSTVO ZDRAVSTVA</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2.176.082.722</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102</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MINISTARSTVO ZA DEMOGRAFIJU, OBITELJ, MLADE I SOCIJALNU POLITIKU</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2.258.025</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106</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HRVATSKA AKADEMIJA ZNANOSTI I UMJETNOSTI</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0</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110</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MINISTARSTVO PRAVOSUĐA</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15.907.309</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120</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URED PUČKOG PRAVOBRANITELJA</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0</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121</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PRAVOBRANITELJ ZA DJECU</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4.428</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122</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PRAVOBRANITELJ/ICA ZA RAVNOPRAVNOST SPOLOVA</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0</w:t>
            </w:r>
          </w:p>
        </w:tc>
      </w:tr>
      <w:tr w:rsidR="00CD1CE4" w:rsidTr="00BF25F0">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lastRenderedPageBreak/>
              <w:t>123</w:t>
            </w:r>
          </w:p>
        </w:tc>
        <w:tc>
          <w:tcPr>
            <w:tcW w:w="7060" w:type="dxa"/>
            <w:tcBorders>
              <w:top w:val="nil"/>
              <w:left w:val="nil"/>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PRAVOBRANITELJ ZA OSOBE S INVALIDITETOM</w:t>
            </w:r>
          </w:p>
        </w:tc>
        <w:tc>
          <w:tcPr>
            <w:tcW w:w="1169" w:type="dxa"/>
            <w:tcBorders>
              <w:top w:val="nil"/>
              <w:left w:val="nil"/>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0</w:t>
            </w:r>
          </w:p>
        </w:tc>
      </w:tr>
      <w:tr w:rsidR="00CD1CE4" w:rsidTr="00BF25F0">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160</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DRŽAVNI ZAVOD ZA STATISTIKU</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108.374</w:t>
            </w:r>
          </w:p>
        </w:tc>
      </w:tr>
      <w:tr w:rsidR="00CD1CE4" w:rsidTr="00BF25F0">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185</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DRŽAVNI URED ZA REVIZIJU</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0</w:t>
            </w:r>
          </w:p>
        </w:tc>
      </w:tr>
      <w:tr w:rsidR="00CD1CE4" w:rsidTr="00BF25F0">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196</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DRŽAVNA KOMISIJA ZA KONTROLU POSTUPAKA JAVNE NABAVE</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0</w:t>
            </w:r>
          </w:p>
        </w:tc>
      </w:tr>
      <w:tr w:rsidR="00CD1CE4" w:rsidTr="00BF25F0">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225</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DRŽAVNI INSPEKTORAT</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105.391</w:t>
            </w:r>
          </w:p>
        </w:tc>
      </w:tr>
      <w:tr w:rsidR="00CD1CE4" w:rsidTr="00BF25F0">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240</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URED VIJEĆA ZA NACIONALNU SIGURNOST</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0</w:t>
            </w:r>
          </w:p>
        </w:tc>
      </w:tr>
      <w:tr w:rsidR="00CD1CE4" w:rsidTr="00BF25F0">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241</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OPERATIVNO-TEHNIČKI CENTAR ZA NADZOR TELEKOMUNIKACIJA</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13</w:t>
            </w:r>
          </w:p>
        </w:tc>
      </w:tr>
      <w:tr w:rsidR="00CD1CE4" w:rsidTr="00BF25F0">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242</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ZAVOD ZA SIGURNOST INFORMACIJSKIH SUSTAVA</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0</w:t>
            </w:r>
          </w:p>
        </w:tc>
      </w:tr>
      <w:tr w:rsidR="00CD1CE4" w:rsidTr="00BF25F0">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250</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AGENCIJA ZA ZAŠTITU OSOBNIH PODATAKA</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0</w:t>
            </w:r>
          </w:p>
        </w:tc>
      </w:tr>
      <w:tr w:rsidR="00CD1CE4" w:rsidTr="00BF25F0">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E4" w:rsidRDefault="00CD1CE4" w:rsidP="002D7A1F">
            <w:pPr>
              <w:jc w:val="center"/>
              <w:rPr>
                <w:color w:val="000000"/>
                <w:sz w:val="16"/>
                <w:szCs w:val="16"/>
              </w:rPr>
            </w:pPr>
            <w:r>
              <w:rPr>
                <w:color w:val="000000"/>
                <w:sz w:val="16"/>
                <w:szCs w:val="16"/>
              </w:rPr>
              <w:t>258</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E4" w:rsidRDefault="00CD1CE4" w:rsidP="002D7A1F">
            <w:pPr>
              <w:rPr>
                <w:color w:val="000000"/>
                <w:sz w:val="16"/>
                <w:szCs w:val="16"/>
              </w:rPr>
            </w:pPr>
            <w:r>
              <w:rPr>
                <w:color w:val="000000"/>
                <w:sz w:val="16"/>
                <w:szCs w:val="16"/>
              </w:rPr>
              <w:t>POVJERENIK ZA INFORMIRANJE</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E4" w:rsidRDefault="00CD1CE4" w:rsidP="002D7A1F">
            <w:pPr>
              <w:jc w:val="right"/>
              <w:rPr>
                <w:color w:val="000000"/>
                <w:sz w:val="16"/>
                <w:szCs w:val="16"/>
              </w:rPr>
            </w:pPr>
            <w:r>
              <w:rPr>
                <w:color w:val="000000"/>
                <w:sz w:val="16"/>
                <w:szCs w:val="16"/>
              </w:rPr>
              <w:t>0</w:t>
            </w:r>
          </w:p>
        </w:tc>
      </w:tr>
      <w:tr w:rsidR="00CD1CE4" w:rsidTr="00BF25F0">
        <w:trPr>
          <w:trHeight w:val="300"/>
        </w:trPr>
        <w:tc>
          <w:tcPr>
            <w:tcW w:w="8040" w:type="dxa"/>
            <w:gridSpan w:val="2"/>
            <w:tcBorders>
              <w:top w:val="single" w:sz="4" w:space="0" w:color="auto"/>
              <w:left w:val="single" w:sz="4" w:space="0" w:color="auto"/>
              <w:bottom w:val="single" w:sz="4" w:space="0" w:color="auto"/>
              <w:right w:val="single" w:sz="4" w:space="0" w:color="auto"/>
            </w:tcBorders>
            <w:shd w:val="clear" w:color="000000" w:fill="BDD7EE"/>
            <w:vAlign w:val="center"/>
            <w:hideMark/>
          </w:tcPr>
          <w:p w:rsidR="00CD1CE4" w:rsidRDefault="00CD1CE4" w:rsidP="002D7A1F">
            <w:pPr>
              <w:jc w:val="center"/>
              <w:rPr>
                <w:b/>
                <w:bCs/>
                <w:color w:val="000000"/>
                <w:sz w:val="16"/>
                <w:szCs w:val="16"/>
              </w:rPr>
            </w:pPr>
            <w:r>
              <w:rPr>
                <w:b/>
                <w:bCs/>
                <w:color w:val="000000"/>
                <w:sz w:val="16"/>
                <w:szCs w:val="16"/>
              </w:rPr>
              <w:t>UKUPNO RAZDJELI</w:t>
            </w:r>
          </w:p>
        </w:tc>
        <w:tc>
          <w:tcPr>
            <w:tcW w:w="1169"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CD1CE4" w:rsidRDefault="00CD1CE4" w:rsidP="002D7A1F">
            <w:pPr>
              <w:jc w:val="right"/>
              <w:rPr>
                <w:b/>
                <w:bCs/>
                <w:color w:val="000000"/>
                <w:sz w:val="16"/>
                <w:szCs w:val="16"/>
              </w:rPr>
            </w:pPr>
            <w:r>
              <w:rPr>
                <w:b/>
                <w:bCs/>
                <w:color w:val="000000"/>
                <w:sz w:val="16"/>
                <w:szCs w:val="16"/>
              </w:rPr>
              <w:t xml:space="preserve">2.548.205.699 </w:t>
            </w:r>
          </w:p>
        </w:tc>
      </w:tr>
    </w:tbl>
    <w:p w:rsidR="00CD1CE4" w:rsidRPr="007736B4" w:rsidRDefault="00CD1CE4" w:rsidP="002D7A1F">
      <w:pPr>
        <w:rPr>
          <w:b/>
          <w:bCs/>
        </w:rPr>
      </w:pPr>
    </w:p>
    <w:p w:rsidR="00CD1CE4" w:rsidRPr="007736B4" w:rsidRDefault="00CD1CE4" w:rsidP="002D7A1F">
      <w:pPr>
        <w:outlineLvl w:val="0"/>
        <w:rPr>
          <w:b/>
          <w:bCs/>
        </w:rPr>
      </w:pPr>
      <w:r w:rsidRPr="007736B4">
        <w:rPr>
          <w:b/>
          <w:bCs/>
        </w:rPr>
        <w:t>Potencijalne obveze po sudskim sporovima proračunskih korisnika državnog proračuna</w:t>
      </w:r>
    </w:p>
    <w:p w:rsidR="00CD1CE4" w:rsidRPr="002D7A1F" w:rsidRDefault="00CD1CE4" w:rsidP="002D7A1F">
      <w:pPr>
        <w:outlineLvl w:val="0"/>
        <w:rPr>
          <w:b/>
          <w:bCs/>
        </w:rPr>
      </w:pPr>
    </w:p>
    <w:p w:rsidR="00CD1CE4" w:rsidRPr="002D7A1F" w:rsidRDefault="00CD1CE4" w:rsidP="002D7A1F">
      <w:pPr>
        <w:jc w:val="both"/>
      </w:pPr>
      <w:r w:rsidRPr="002D7A1F">
        <w:t>U tablici 1</w:t>
      </w:r>
      <w:r w:rsidR="00E3159C">
        <w:t>3</w:t>
      </w:r>
      <w:r w:rsidRPr="002D7A1F">
        <w:t>. iskazano je stanje potencijalnih obveza po sudskim sporovima ministarstava i drugih državnih tijela na razini razdjela organizacijske klasifikacije na dan 31. prosinca 2019. godine. Ukupne potencijalne obveze po sudskim sporovima proračunskih korisnika državnog proračuna iznosile su 6,0 milijardi kuna.</w:t>
      </w:r>
    </w:p>
    <w:p w:rsidR="00CD1CE4" w:rsidRPr="002D7A1F" w:rsidRDefault="00CD1CE4" w:rsidP="002D7A1F">
      <w:pPr>
        <w:jc w:val="both"/>
      </w:pPr>
    </w:p>
    <w:p w:rsidR="00CD1CE4" w:rsidRPr="002D7A1F" w:rsidRDefault="00CD1CE4" w:rsidP="002D7A1F">
      <w:pPr>
        <w:jc w:val="both"/>
        <w:rPr>
          <w:bCs/>
          <w:i/>
        </w:rPr>
      </w:pPr>
      <w:r w:rsidRPr="002D7A1F">
        <w:rPr>
          <w:bCs/>
          <w:i/>
        </w:rPr>
        <w:t>Tablica 1</w:t>
      </w:r>
      <w:r w:rsidR="00E3159C">
        <w:rPr>
          <w:bCs/>
          <w:i/>
        </w:rPr>
        <w:t>3</w:t>
      </w:r>
      <w:r w:rsidRPr="002D7A1F">
        <w:rPr>
          <w:bCs/>
          <w:i/>
        </w:rPr>
        <w:t>. Potencijalne obveze po sudskim sporovima proračunskih korisnika državnog proračuna</w:t>
      </w:r>
    </w:p>
    <w:tbl>
      <w:tblPr>
        <w:tblW w:w="9209" w:type="dxa"/>
        <w:tblInd w:w="113" w:type="dxa"/>
        <w:tblLook w:val="04A0" w:firstRow="1" w:lastRow="0" w:firstColumn="1" w:lastColumn="0" w:noHBand="0" w:noVBand="1"/>
      </w:tblPr>
      <w:tblGrid>
        <w:gridCol w:w="456"/>
        <w:gridCol w:w="6910"/>
        <w:gridCol w:w="1843"/>
      </w:tblGrid>
      <w:tr w:rsidR="00CD1CE4" w:rsidRPr="00DC01CE" w:rsidTr="00206BED">
        <w:trPr>
          <w:trHeight w:val="420"/>
        </w:trPr>
        <w:tc>
          <w:tcPr>
            <w:tcW w:w="7366" w:type="dxa"/>
            <w:gridSpan w:val="2"/>
            <w:tcBorders>
              <w:top w:val="single" w:sz="4" w:space="0" w:color="auto"/>
              <w:left w:val="single" w:sz="4" w:space="0" w:color="auto"/>
              <w:bottom w:val="single" w:sz="4" w:space="0" w:color="auto"/>
              <w:right w:val="single" w:sz="4" w:space="0" w:color="000000"/>
            </w:tcBorders>
            <w:shd w:val="clear" w:color="auto" w:fill="B8CCE4" w:themeFill="accent1" w:themeFillTint="66"/>
            <w:noWrap/>
            <w:vAlign w:val="center"/>
            <w:hideMark/>
          </w:tcPr>
          <w:p w:rsidR="00CD1CE4" w:rsidRPr="00DC01CE" w:rsidRDefault="00CD1CE4" w:rsidP="002D7A1F">
            <w:pPr>
              <w:jc w:val="center"/>
              <w:rPr>
                <w:b/>
                <w:bCs/>
                <w:color w:val="000000"/>
                <w:sz w:val="20"/>
                <w:szCs w:val="20"/>
              </w:rPr>
            </w:pPr>
            <w:r w:rsidRPr="00DC01CE">
              <w:rPr>
                <w:b/>
                <w:bCs/>
                <w:color w:val="000000"/>
                <w:sz w:val="20"/>
                <w:szCs w:val="20"/>
              </w:rPr>
              <w:t>RAZDJEL</w:t>
            </w:r>
          </w:p>
        </w:tc>
        <w:tc>
          <w:tcPr>
            <w:tcW w:w="184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D1CE4" w:rsidRPr="00DC01CE" w:rsidRDefault="00CD1CE4" w:rsidP="002D7A1F">
            <w:pPr>
              <w:jc w:val="center"/>
              <w:rPr>
                <w:b/>
                <w:bCs/>
                <w:color w:val="000000"/>
                <w:sz w:val="20"/>
                <w:szCs w:val="20"/>
              </w:rPr>
            </w:pPr>
            <w:r w:rsidRPr="00DC01CE">
              <w:rPr>
                <w:b/>
                <w:bCs/>
                <w:color w:val="000000"/>
                <w:sz w:val="20"/>
                <w:szCs w:val="20"/>
              </w:rPr>
              <w:t xml:space="preserve"> SALDO 31.12.2019.</w:t>
            </w:r>
          </w:p>
        </w:tc>
      </w:tr>
      <w:tr w:rsidR="00CD1CE4" w:rsidRPr="00DC01CE" w:rsidTr="00BF25F0">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D1CE4" w:rsidRPr="00DC01CE" w:rsidRDefault="00CD1CE4" w:rsidP="002D7A1F">
            <w:pPr>
              <w:rPr>
                <w:sz w:val="16"/>
                <w:szCs w:val="16"/>
              </w:rPr>
            </w:pPr>
            <w:r w:rsidRPr="00DC01CE">
              <w:rPr>
                <w:sz w:val="16"/>
                <w:szCs w:val="16"/>
              </w:rPr>
              <w:t>010</w:t>
            </w:r>
          </w:p>
        </w:tc>
        <w:tc>
          <w:tcPr>
            <w:tcW w:w="6910" w:type="dxa"/>
            <w:tcBorders>
              <w:top w:val="nil"/>
              <w:left w:val="nil"/>
              <w:bottom w:val="single" w:sz="4" w:space="0" w:color="auto"/>
              <w:right w:val="single" w:sz="4" w:space="0" w:color="auto"/>
            </w:tcBorders>
            <w:shd w:val="clear" w:color="auto" w:fill="auto"/>
            <w:vAlign w:val="center"/>
            <w:hideMark/>
          </w:tcPr>
          <w:p w:rsidR="00CD1CE4" w:rsidRPr="00DC01CE" w:rsidRDefault="00CD1CE4" w:rsidP="002D7A1F">
            <w:pPr>
              <w:rPr>
                <w:sz w:val="16"/>
                <w:szCs w:val="16"/>
              </w:rPr>
            </w:pPr>
            <w:r w:rsidRPr="00DC01CE">
              <w:rPr>
                <w:sz w:val="16"/>
                <w:szCs w:val="16"/>
              </w:rPr>
              <w:t>HRVATSKI SABOR</w:t>
            </w:r>
          </w:p>
        </w:tc>
        <w:tc>
          <w:tcPr>
            <w:tcW w:w="1843" w:type="dxa"/>
            <w:tcBorders>
              <w:top w:val="nil"/>
              <w:left w:val="nil"/>
              <w:bottom w:val="single" w:sz="4" w:space="0" w:color="auto"/>
              <w:right w:val="single" w:sz="4" w:space="0" w:color="auto"/>
            </w:tcBorders>
            <w:shd w:val="clear" w:color="auto" w:fill="auto"/>
            <w:noWrap/>
            <w:vAlign w:val="center"/>
            <w:hideMark/>
          </w:tcPr>
          <w:p w:rsidR="00CD1CE4" w:rsidRPr="00DC01CE" w:rsidRDefault="00CD1CE4" w:rsidP="002D7A1F">
            <w:pPr>
              <w:jc w:val="right"/>
              <w:rPr>
                <w:sz w:val="16"/>
                <w:szCs w:val="16"/>
              </w:rPr>
            </w:pPr>
            <w:r w:rsidRPr="00DC01CE">
              <w:rPr>
                <w:sz w:val="16"/>
                <w:szCs w:val="16"/>
              </w:rPr>
              <w:t>0,00</w:t>
            </w:r>
          </w:p>
        </w:tc>
      </w:tr>
      <w:tr w:rsidR="00CD1CE4" w:rsidRPr="00DC01CE" w:rsidTr="00BF25F0">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D1CE4" w:rsidRPr="00DC01CE" w:rsidRDefault="00CD1CE4" w:rsidP="002D7A1F">
            <w:pPr>
              <w:rPr>
                <w:sz w:val="16"/>
                <w:szCs w:val="16"/>
              </w:rPr>
            </w:pPr>
            <w:r w:rsidRPr="00DC01CE">
              <w:rPr>
                <w:sz w:val="16"/>
                <w:szCs w:val="16"/>
              </w:rPr>
              <w:t>012</w:t>
            </w:r>
          </w:p>
        </w:tc>
        <w:tc>
          <w:tcPr>
            <w:tcW w:w="6910" w:type="dxa"/>
            <w:tcBorders>
              <w:top w:val="nil"/>
              <w:left w:val="nil"/>
              <w:bottom w:val="single" w:sz="4" w:space="0" w:color="auto"/>
              <w:right w:val="single" w:sz="4" w:space="0" w:color="auto"/>
            </w:tcBorders>
            <w:shd w:val="clear" w:color="auto" w:fill="auto"/>
            <w:vAlign w:val="center"/>
            <w:hideMark/>
          </w:tcPr>
          <w:p w:rsidR="00CD1CE4" w:rsidRPr="00DC01CE" w:rsidRDefault="00CD1CE4" w:rsidP="002D7A1F">
            <w:pPr>
              <w:rPr>
                <w:sz w:val="16"/>
                <w:szCs w:val="16"/>
              </w:rPr>
            </w:pPr>
            <w:r w:rsidRPr="00DC01CE">
              <w:rPr>
                <w:sz w:val="16"/>
                <w:szCs w:val="16"/>
              </w:rPr>
              <w:t>DRŽAVNO IZBORNO POVJERENSTVO REPUBLIKE HRVATSKE</w:t>
            </w:r>
          </w:p>
        </w:tc>
        <w:tc>
          <w:tcPr>
            <w:tcW w:w="1843" w:type="dxa"/>
            <w:tcBorders>
              <w:top w:val="nil"/>
              <w:left w:val="nil"/>
              <w:bottom w:val="single" w:sz="4" w:space="0" w:color="auto"/>
              <w:right w:val="single" w:sz="4" w:space="0" w:color="auto"/>
            </w:tcBorders>
            <w:shd w:val="clear" w:color="auto" w:fill="auto"/>
            <w:noWrap/>
            <w:vAlign w:val="center"/>
            <w:hideMark/>
          </w:tcPr>
          <w:p w:rsidR="00CD1CE4" w:rsidRPr="00DC01CE" w:rsidRDefault="00CD1CE4" w:rsidP="002D7A1F">
            <w:pPr>
              <w:jc w:val="right"/>
              <w:rPr>
                <w:sz w:val="16"/>
                <w:szCs w:val="16"/>
              </w:rPr>
            </w:pPr>
            <w:r w:rsidRPr="00DC01CE">
              <w:rPr>
                <w:sz w:val="16"/>
                <w:szCs w:val="16"/>
              </w:rPr>
              <w:t>86.000,00</w:t>
            </w:r>
          </w:p>
        </w:tc>
      </w:tr>
      <w:tr w:rsidR="00CD1CE4" w:rsidRPr="00DC01CE" w:rsidTr="00BF25F0">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D1CE4" w:rsidRPr="00DC01CE" w:rsidRDefault="00CD1CE4" w:rsidP="002D7A1F">
            <w:pPr>
              <w:rPr>
                <w:sz w:val="16"/>
                <w:szCs w:val="16"/>
              </w:rPr>
            </w:pPr>
            <w:r w:rsidRPr="00DC01CE">
              <w:rPr>
                <w:sz w:val="16"/>
                <w:szCs w:val="16"/>
              </w:rPr>
              <w:t>015</w:t>
            </w:r>
          </w:p>
        </w:tc>
        <w:tc>
          <w:tcPr>
            <w:tcW w:w="6910" w:type="dxa"/>
            <w:tcBorders>
              <w:top w:val="nil"/>
              <w:left w:val="nil"/>
              <w:bottom w:val="single" w:sz="4" w:space="0" w:color="auto"/>
              <w:right w:val="single" w:sz="4" w:space="0" w:color="auto"/>
            </w:tcBorders>
            <w:shd w:val="clear" w:color="auto" w:fill="auto"/>
            <w:vAlign w:val="center"/>
            <w:hideMark/>
          </w:tcPr>
          <w:p w:rsidR="00CD1CE4" w:rsidRPr="00DC01CE" w:rsidRDefault="00CD1CE4" w:rsidP="002D7A1F">
            <w:pPr>
              <w:rPr>
                <w:sz w:val="16"/>
                <w:szCs w:val="16"/>
              </w:rPr>
            </w:pPr>
            <w:r w:rsidRPr="00DC01CE">
              <w:rPr>
                <w:sz w:val="16"/>
                <w:szCs w:val="16"/>
              </w:rPr>
              <w:t>URED PREDSJEDNICE REPUBLIKE HRVATSKE</w:t>
            </w:r>
          </w:p>
        </w:tc>
        <w:tc>
          <w:tcPr>
            <w:tcW w:w="1843" w:type="dxa"/>
            <w:tcBorders>
              <w:top w:val="nil"/>
              <w:left w:val="nil"/>
              <w:bottom w:val="single" w:sz="4" w:space="0" w:color="auto"/>
              <w:right w:val="single" w:sz="4" w:space="0" w:color="auto"/>
            </w:tcBorders>
            <w:shd w:val="clear" w:color="auto" w:fill="auto"/>
            <w:noWrap/>
            <w:vAlign w:val="center"/>
            <w:hideMark/>
          </w:tcPr>
          <w:p w:rsidR="00CD1CE4" w:rsidRPr="00DC01CE" w:rsidRDefault="00CD1CE4" w:rsidP="002D7A1F">
            <w:pPr>
              <w:jc w:val="right"/>
              <w:rPr>
                <w:color w:val="000000"/>
                <w:sz w:val="16"/>
                <w:szCs w:val="16"/>
              </w:rPr>
            </w:pPr>
            <w:r w:rsidRPr="00DC01CE">
              <w:rPr>
                <w:color w:val="000000"/>
                <w:sz w:val="16"/>
                <w:szCs w:val="16"/>
              </w:rPr>
              <w:t>71.633,60</w:t>
            </w:r>
          </w:p>
        </w:tc>
      </w:tr>
      <w:tr w:rsidR="00CD1CE4" w:rsidRPr="00DC01CE" w:rsidTr="00BF25F0">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D1CE4" w:rsidRPr="00DC01CE" w:rsidRDefault="00CD1CE4" w:rsidP="002D7A1F">
            <w:pPr>
              <w:rPr>
                <w:sz w:val="16"/>
                <w:szCs w:val="16"/>
              </w:rPr>
            </w:pPr>
            <w:r w:rsidRPr="00DC01CE">
              <w:rPr>
                <w:sz w:val="16"/>
                <w:szCs w:val="16"/>
              </w:rPr>
              <w:t>017</w:t>
            </w:r>
          </w:p>
        </w:tc>
        <w:tc>
          <w:tcPr>
            <w:tcW w:w="6910" w:type="dxa"/>
            <w:tcBorders>
              <w:top w:val="nil"/>
              <w:left w:val="nil"/>
              <w:bottom w:val="single" w:sz="4" w:space="0" w:color="auto"/>
              <w:right w:val="single" w:sz="4" w:space="0" w:color="auto"/>
            </w:tcBorders>
            <w:shd w:val="clear" w:color="auto" w:fill="auto"/>
            <w:vAlign w:val="center"/>
            <w:hideMark/>
          </w:tcPr>
          <w:p w:rsidR="00CD1CE4" w:rsidRPr="00DC01CE" w:rsidRDefault="00CD1CE4" w:rsidP="002D7A1F">
            <w:pPr>
              <w:rPr>
                <w:sz w:val="16"/>
                <w:szCs w:val="16"/>
              </w:rPr>
            </w:pPr>
            <w:r w:rsidRPr="00DC01CE">
              <w:rPr>
                <w:sz w:val="16"/>
                <w:szCs w:val="16"/>
              </w:rPr>
              <w:t>USTAVNI SUD REPUBLIKE HRVATSKE</w:t>
            </w:r>
          </w:p>
        </w:tc>
        <w:tc>
          <w:tcPr>
            <w:tcW w:w="1843" w:type="dxa"/>
            <w:tcBorders>
              <w:top w:val="nil"/>
              <w:left w:val="nil"/>
              <w:bottom w:val="single" w:sz="4" w:space="0" w:color="auto"/>
              <w:right w:val="single" w:sz="4" w:space="0" w:color="auto"/>
            </w:tcBorders>
            <w:shd w:val="clear" w:color="auto" w:fill="auto"/>
            <w:noWrap/>
            <w:vAlign w:val="center"/>
            <w:hideMark/>
          </w:tcPr>
          <w:p w:rsidR="00CD1CE4" w:rsidRPr="00DC01CE" w:rsidRDefault="00CD1CE4" w:rsidP="002D7A1F">
            <w:pPr>
              <w:jc w:val="right"/>
              <w:rPr>
                <w:color w:val="000000"/>
                <w:sz w:val="16"/>
                <w:szCs w:val="16"/>
              </w:rPr>
            </w:pPr>
            <w:r w:rsidRPr="00DC01CE">
              <w:rPr>
                <w:color w:val="000000"/>
                <w:sz w:val="16"/>
                <w:szCs w:val="16"/>
              </w:rPr>
              <w:t>0,00</w:t>
            </w:r>
          </w:p>
        </w:tc>
      </w:tr>
      <w:tr w:rsidR="00CD1CE4" w:rsidRPr="00DC01CE" w:rsidTr="00BF25F0">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D1CE4" w:rsidRPr="00DC01CE" w:rsidRDefault="00CD1CE4" w:rsidP="002D7A1F">
            <w:pPr>
              <w:rPr>
                <w:sz w:val="16"/>
                <w:szCs w:val="16"/>
              </w:rPr>
            </w:pPr>
            <w:r w:rsidRPr="00DC01CE">
              <w:rPr>
                <w:sz w:val="16"/>
                <w:szCs w:val="16"/>
              </w:rPr>
              <w:t>018</w:t>
            </w:r>
          </w:p>
        </w:tc>
        <w:tc>
          <w:tcPr>
            <w:tcW w:w="6910" w:type="dxa"/>
            <w:tcBorders>
              <w:top w:val="nil"/>
              <w:left w:val="nil"/>
              <w:bottom w:val="single" w:sz="4" w:space="0" w:color="auto"/>
              <w:right w:val="single" w:sz="4" w:space="0" w:color="auto"/>
            </w:tcBorders>
            <w:shd w:val="clear" w:color="auto" w:fill="auto"/>
            <w:vAlign w:val="center"/>
            <w:hideMark/>
          </w:tcPr>
          <w:p w:rsidR="00CD1CE4" w:rsidRPr="00DC01CE" w:rsidRDefault="00CD1CE4" w:rsidP="002D7A1F">
            <w:pPr>
              <w:rPr>
                <w:sz w:val="16"/>
                <w:szCs w:val="16"/>
              </w:rPr>
            </w:pPr>
            <w:r w:rsidRPr="00DC01CE">
              <w:rPr>
                <w:sz w:val="16"/>
                <w:szCs w:val="16"/>
              </w:rPr>
              <w:t>AGENCIJA ZA ZAŠTITU TRŽIŠNOG NATJECANJA</w:t>
            </w:r>
          </w:p>
        </w:tc>
        <w:tc>
          <w:tcPr>
            <w:tcW w:w="1843" w:type="dxa"/>
            <w:tcBorders>
              <w:top w:val="nil"/>
              <w:left w:val="nil"/>
              <w:bottom w:val="single" w:sz="4" w:space="0" w:color="auto"/>
              <w:right w:val="single" w:sz="4" w:space="0" w:color="auto"/>
            </w:tcBorders>
            <w:shd w:val="clear" w:color="auto" w:fill="auto"/>
            <w:noWrap/>
            <w:vAlign w:val="center"/>
            <w:hideMark/>
          </w:tcPr>
          <w:p w:rsidR="00CD1CE4" w:rsidRPr="00DC01CE" w:rsidRDefault="00CD1CE4" w:rsidP="002D7A1F">
            <w:pPr>
              <w:jc w:val="right"/>
              <w:rPr>
                <w:color w:val="000000"/>
                <w:sz w:val="16"/>
                <w:szCs w:val="16"/>
              </w:rPr>
            </w:pPr>
            <w:r w:rsidRPr="00DC01CE">
              <w:rPr>
                <w:color w:val="000000"/>
                <w:sz w:val="16"/>
                <w:szCs w:val="16"/>
              </w:rPr>
              <w:t>87.045,48</w:t>
            </w:r>
          </w:p>
        </w:tc>
      </w:tr>
      <w:tr w:rsidR="00CD1CE4" w:rsidRPr="00DC01CE" w:rsidTr="00BF25F0">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D1CE4" w:rsidRPr="00DC01CE" w:rsidRDefault="00CD1CE4" w:rsidP="002D7A1F">
            <w:pPr>
              <w:rPr>
                <w:sz w:val="16"/>
                <w:szCs w:val="16"/>
              </w:rPr>
            </w:pPr>
            <w:r w:rsidRPr="00DC01CE">
              <w:rPr>
                <w:sz w:val="16"/>
                <w:szCs w:val="16"/>
              </w:rPr>
              <w:t>020</w:t>
            </w:r>
          </w:p>
        </w:tc>
        <w:tc>
          <w:tcPr>
            <w:tcW w:w="6910" w:type="dxa"/>
            <w:tcBorders>
              <w:top w:val="nil"/>
              <w:left w:val="nil"/>
              <w:bottom w:val="single" w:sz="4" w:space="0" w:color="auto"/>
              <w:right w:val="single" w:sz="4" w:space="0" w:color="auto"/>
            </w:tcBorders>
            <w:shd w:val="clear" w:color="auto" w:fill="auto"/>
            <w:vAlign w:val="center"/>
            <w:hideMark/>
          </w:tcPr>
          <w:p w:rsidR="00CD1CE4" w:rsidRPr="00DC01CE" w:rsidRDefault="00CD1CE4" w:rsidP="002D7A1F">
            <w:pPr>
              <w:rPr>
                <w:sz w:val="16"/>
                <w:szCs w:val="16"/>
              </w:rPr>
            </w:pPr>
            <w:r w:rsidRPr="00DC01CE">
              <w:rPr>
                <w:sz w:val="16"/>
                <w:szCs w:val="16"/>
              </w:rPr>
              <w:t>VLADA REPUBLIKE HRVATSKE</w:t>
            </w:r>
          </w:p>
        </w:tc>
        <w:tc>
          <w:tcPr>
            <w:tcW w:w="1843" w:type="dxa"/>
            <w:tcBorders>
              <w:top w:val="nil"/>
              <w:left w:val="nil"/>
              <w:bottom w:val="single" w:sz="4" w:space="0" w:color="auto"/>
              <w:right w:val="single" w:sz="4" w:space="0" w:color="auto"/>
            </w:tcBorders>
            <w:shd w:val="clear" w:color="auto" w:fill="auto"/>
            <w:noWrap/>
            <w:vAlign w:val="center"/>
            <w:hideMark/>
          </w:tcPr>
          <w:p w:rsidR="00CD1CE4" w:rsidRPr="00DC01CE" w:rsidRDefault="00CD1CE4" w:rsidP="002D7A1F">
            <w:pPr>
              <w:jc w:val="right"/>
              <w:rPr>
                <w:color w:val="000000"/>
                <w:sz w:val="16"/>
                <w:szCs w:val="16"/>
              </w:rPr>
            </w:pPr>
            <w:r w:rsidRPr="00DC01CE">
              <w:rPr>
                <w:color w:val="000000"/>
                <w:sz w:val="16"/>
                <w:szCs w:val="16"/>
              </w:rPr>
              <w:t>207.412,00</w:t>
            </w:r>
          </w:p>
        </w:tc>
      </w:tr>
      <w:tr w:rsidR="00CD1CE4" w:rsidRPr="00DC01CE" w:rsidTr="00BF25F0">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D1CE4" w:rsidRPr="00DC01CE" w:rsidRDefault="00CD1CE4" w:rsidP="002D7A1F">
            <w:pPr>
              <w:rPr>
                <w:sz w:val="16"/>
                <w:szCs w:val="16"/>
              </w:rPr>
            </w:pPr>
            <w:r w:rsidRPr="00DC01CE">
              <w:rPr>
                <w:sz w:val="16"/>
                <w:szCs w:val="16"/>
              </w:rPr>
              <w:t>025</w:t>
            </w:r>
          </w:p>
        </w:tc>
        <w:tc>
          <w:tcPr>
            <w:tcW w:w="6910" w:type="dxa"/>
            <w:tcBorders>
              <w:top w:val="nil"/>
              <w:left w:val="nil"/>
              <w:bottom w:val="single" w:sz="4" w:space="0" w:color="auto"/>
              <w:right w:val="single" w:sz="4" w:space="0" w:color="auto"/>
            </w:tcBorders>
            <w:shd w:val="clear" w:color="auto" w:fill="auto"/>
            <w:vAlign w:val="center"/>
            <w:hideMark/>
          </w:tcPr>
          <w:p w:rsidR="00CD1CE4" w:rsidRPr="00DC01CE" w:rsidRDefault="00CD1CE4" w:rsidP="002D7A1F">
            <w:pPr>
              <w:rPr>
                <w:sz w:val="16"/>
                <w:szCs w:val="16"/>
              </w:rPr>
            </w:pPr>
            <w:r w:rsidRPr="00DC01CE">
              <w:rPr>
                <w:sz w:val="16"/>
                <w:szCs w:val="16"/>
              </w:rPr>
              <w:t>MINISTARSTVO FINANCIJA</w:t>
            </w:r>
          </w:p>
        </w:tc>
        <w:tc>
          <w:tcPr>
            <w:tcW w:w="1843" w:type="dxa"/>
            <w:tcBorders>
              <w:top w:val="nil"/>
              <w:left w:val="nil"/>
              <w:bottom w:val="single" w:sz="4" w:space="0" w:color="auto"/>
              <w:right w:val="single" w:sz="4" w:space="0" w:color="auto"/>
            </w:tcBorders>
            <w:shd w:val="clear" w:color="auto" w:fill="auto"/>
            <w:noWrap/>
            <w:vAlign w:val="center"/>
            <w:hideMark/>
          </w:tcPr>
          <w:p w:rsidR="00CD1CE4" w:rsidRPr="00DC01CE" w:rsidRDefault="00CD1CE4" w:rsidP="002D7A1F">
            <w:pPr>
              <w:jc w:val="right"/>
              <w:rPr>
                <w:color w:val="000000"/>
                <w:sz w:val="16"/>
                <w:szCs w:val="16"/>
              </w:rPr>
            </w:pPr>
            <w:r w:rsidRPr="00DC01CE">
              <w:rPr>
                <w:color w:val="000000"/>
                <w:sz w:val="16"/>
                <w:szCs w:val="16"/>
              </w:rPr>
              <w:t>301.657.256,52</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027</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RH SIGURNOSNO-OBAVJEŠTAJNA AGENCIJA</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550.000,00</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028</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SREDIŠNJI DRŽAVNI URED ZA SREDIŠNJU JAVNU NABAVU</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color w:val="000000"/>
                <w:sz w:val="16"/>
                <w:szCs w:val="16"/>
              </w:rPr>
            </w:pPr>
            <w:r w:rsidRPr="00DC01CE">
              <w:rPr>
                <w:color w:val="000000"/>
                <w:sz w:val="16"/>
                <w:szCs w:val="16"/>
              </w:rPr>
              <w:t>0,00</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030</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MINISTARSTVO OBRANE</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color w:val="000000"/>
                <w:sz w:val="16"/>
                <w:szCs w:val="16"/>
              </w:rPr>
            </w:pPr>
            <w:r w:rsidRPr="00DC01CE">
              <w:rPr>
                <w:color w:val="000000"/>
                <w:sz w:val="16"/>
                <w:szCs w:val="16"/>
              </w:rPr>
              <w:t>104.899.389,25</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032</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SREDIŠNJI DRŽAVNI URED ZA HRVATE IZVAN REPUBLIKE HRVATSKE</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55.000,00</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033</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SREDIŠNJI DRŽAVNI URED ZA OBNOVU I STAMBENO ZBRINJAVANJE</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160.850.536,95</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034</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SREDIŠNJI DRŽAVNI URED ZA RAZVOJ DIGITALNOG DRUŠTVA</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0,00</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040</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MINISTARSTVO UNUTARNJIH POSLOVA</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8E4492">
              <w:rPr>
                <w:sz w:val="16"/>
                <w:szCs w:val="16"/>
              </w:rPr>
              <w:t>216</w:t>
            </w:r>
            <w:r>
              <w:rPr>
                <w:sz w:val="16"/>
                <w:szCs w:val="16"/>
              </w:rPr>
              <w:t>.</w:t>
            </w:r>
            <w:r w:rsidRPr="008E4492">
              <w:rPr>
                <w:sz w:val="16"/>
                <w:szCs w:val="16"/>
              </w:rPr>
              <w:t>753</w:t>
            </w:r>
            <w:r>
              <w:rPr>
                <w:sz w:val="16"/>
                <w:szCs w:val="16"/>
              </w:rPr>
              <w:t>.</w:t>
            </w:r>
            <w:r w:rsidRPr="008E4492">
              <w:rPr>
                <w:sz w:val="16"/>
                <w:szCs w:val="16"/>
              </w:rPr>
              <w:t>055,95</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041</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MINISTARSTVO HRVATSKIH BRANITELJA</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34.655.104,99</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048</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MINISTARSTVO VANJSKIH I EUROPSKIH POSLOVA</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10.579.433,55</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049</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MINISTARSTVO GOSPODARSTVA, PODUZETNIŠTVA I OBRTA</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jc w:val="right"/>
              <w:rPr>
                <w:sz w:val="16"/>
                <w:szCs w:val="16"/>
              </w:rPr>
            </w:pPr>
            <w:r w:rsidRPr="00DC01CE">
              <w:rPr>
                <w:sz w:val="16"/>
                <w:szCs w:val="16"/>
              </w:rPr>
              <w:t>227.771.055,61</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052</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POVJERENSTVO ZA ODLUČIVANJE O SUKOBU INTERESA</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0,00</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054</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MINISTARSTVO DRŽAVNE IMOVINE</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137.251.984,61</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055</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MINISTARSTVO KULTURE</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10.057.434,54</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060</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MINISTARSTVO POLJOPRIVREDE</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color w:val="000000"/>
                <w:sz w:val="16"/>
                <w:szCs w:val="16"/>
              </w:rPr>
            </w:pPr>
            <w:r w:rsidRPr="00DC01CE">
              <w:rPr>
                <w:color w:val="000000"/>
                <w:sz w:val="16"/>
                <w:szCs w:val="16"/>
              </w:rPr>
              <w:t>400.080.473,96</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061</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MINISTARSTVO REGIONALNOGA RAZVOJA I FONDOVA EUROPSKE UNIJE</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31.960.813,96</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065</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MINISTARSTVO MORA, PROMETA I INFRASTRUKTURE</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color w:val="000000"/>
                <w:sz w:val="16"/>
                <w:szCs w:val="16"/>
              </w:rPr>
            </w:pPr>
            <w:r w:rsidRPr="00DC01CE">
              <w:rPr>
                <w:color w:val="000000"/>
                <w:sz w:val="16"/>
                <w:szCs w:val="16"/>
              </w:rPr>
              <w:t>701.607.349,88</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076</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MINISTARSTVO GRADITELJSTVA I PROSTORNOGA UREĐENJA</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color w:val="000000"/>
                <w:sz w:val="16"/>
                <w:szCs w:val="16"/>
              </w:rPr>
            </w:pPr>
            <w:r w:rsidRPr="00DC01CE">
              <w:rPr>
                <w:color w:val="000000"/>
                <w:sz w:val="16"/>
                <w:szCs w:val="16"/>
              </w:rPr>
              <w:t>550.526.495,77</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lastRenderedPageBreak/>
              <w:t>077</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MINISTARSTVO ZAŠTITE OKOLIŠA I ENERGETIKE</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692.504.099,00</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080</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MINISTARSTVO ZNANOSTI, OBRAZOVANJA I SPORTA</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177.652.574,57</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086</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MINISTARSTVO RADA I MIROVINSKOGA SUSTAVA</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37.486.945,83</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090</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MINISTARSTVO TURIZMA</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0,00</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095</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MINISTARSTVO UPRAVE</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1.755.468,58</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096</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MINISTARSTVO ZDRAVSTVA</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442.155.457,00</w:t>
            </w:r>
          </w:p>
        </w:tc>
      </w:tr>
      <w:tr w:rsidR="00CD1CE4" w:rsidRPr="00DC01CE" w:rsidTr="00BF25F0">
        <w:trPr>
          <w:trHeight w:val="45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102</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MINISTARSTVO ZA DEMOGRAFIJU, OBITELJ, MLADE I SOCIJALNU POLITIKU</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16.908.723,44</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106</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HRVATSKA AKADEMIJA ZNANOSTI I UMJETNOSTI</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270.976.400,62</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110</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MINISTARSTVO PRAVOSUĐA</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1.328.426.205,14</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120</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URED PUČKOG PRAVOBRANITELJA</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0,00</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121</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PRAVOBRANITELJ ZA DJECU</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0,00</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122</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PRAVOBRANITELJ/ICA ZA RAVNOPRAVNOST SPOLOVA</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1.286.926,00</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123</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PRAVOBRANITELJ ZA OSOBE S INVALIDITETOM</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0,00</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160</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DRŽAVNI ZAVOD ZA STATISTIKU</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25.223.064,70</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185</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DRŽAVNI URED ZA REVIZIJU</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50.000,00</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196</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DRŽAVNA KOMISIJA ZA KONTROLU POSTUPAKA JAVNE NABAVE</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82.072.798,53</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225</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DRŽAVNI INSPEKTORAT</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0,00</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240</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URED VIJEĆA ZA NACIONALNU SIGURNOST</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480.037,73</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241</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OPERATIVNO-TEHNIČKI CENTAR ZA NADZOR TELEKOMUNIKACIJA</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104.087,72</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242</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ZAVOD ZA SIGURNOST INFORMACIJSKIH SUSTAVA</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0,00</w:t>
            </w:r>
          </w:p>
        </w:tc>
      </w:tr>
      <w:tr w:rsidR="00CD1CE4" w:rsidRPr="00DC01CE" w:rsidTr="00BF25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1CE4" w:rsidRPr="00DC01CE" w:rsidRDefault="00CD1CE4" w:rsidP="002D7A1F">
            <w:pPr>
              <w:rPr>
                <w:sz w:val="16"/>
                <w:szCs w:val="16"/>
              </w:rPr>
            </w:pPr>
            <w:r w:rsidRPr="00DC01CE">
              <w:rPr>
                <w:sz w:val="16"/>
                <w:szCs w:val="16"/>
              </w:rPr>
              <w:t>250</w:t>
            </w:r>
          </w:p>
        </w:tc>
        <w:tc>
          <w:tcPr>
            <w:tcW w:w="6910" w:type="dxa"/>
            <w:tcBorders>
              <w:top w:val="single" w:sz="4" w:space="0" w:color="auto"/>
              <w:left w:val="nil"/>
              <w:bottom w:val="single" w:sz="4" w:space="0" w:color="auto"/>
              <w:right w:val="single" w:sz="4" w:space="0" w:color="auto"/>
            </w:tcBorders>
            <w:shd w:val="clear" w:color="auto" w:fill="FFFFFF"/>
            <w:vAlign w:val="center"/>
            <w:hideMark/>
          </w:tcPr>
          <w:p w:rsidR="00CD1CE4" w:rsidRPr="00DC01CE" w:rsidRDefault="00CD1CE4" w:rsidP="002D7A1F">
            <w:pPr>
              <w:rPr>
                <w:sz w:val="16"/>
                <w:szCs w:val="16"/>
              </w:rPr>
            </w:pPr>
            <w:r w:rsidRPr="00DC01CE">
              <w:rPr>
                <w:sz w:val="16"/>
                <w:szCs w:val="16"/>
              </w:rPr>
              <w:t>AGENCIJA ZA ZAŠTITU OSOBNIH PODATAKA</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CD1CE4" w:rsidRPr="00DC01CE" w:rsidRDefault="00CD1CE4" w:rsidP="002D7A1F">
            <w:pPr>
              <w:jc w:val="right"/>
              <w:rPr>
                <w:sz w:val="16"/>
                <w:szCs w:val="16"/>
              </w:rPr>
            </w:pPr>
            <w:r w:rsidRPr="00DC01CE">
              <w:rPr>
                <w:sz w:val="16"/>
                <w:szCs w:val="16"/>
              </w:rPr>
              <w:t>384.625,00</w:t>
            </w:r>
          </w:p>
        </w:tc>
      </w:tr>
      <w:tr w:rsidR="00CD1CE4" w:rsidRPr="00DC01CE" w:rsidTr="00BF25F0">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D1CE4" w:rsidRPr="00DC01CE" w:rsidRDefault="00CD1CE4" w:rsidP="002D7A1F">
            <w:pPr>
              <w:rPr>
                <w:sz w:val="16"/>
                <w:szCs w:val="16"/>
              </w:rPr>
            </w:pPr>
            <w:r w:rsidRPr="00DC01CE">
              <w:rPr>
                <w:sz w:val="16"/>
                <w:szCs w:val="16"/>
              </w:rPr>
              <w:t>258</w:t>
            </w:r>
          </w:p>
        </w:tc>
        <w:tc>
          <w:tcPr>
            <w:tcW w:w="6910" w:type="dxa"/>
            <w:tcBorders>
              <w:top w:val="nil"/>
              <w:left w:val="nil"/>
              <w:bottom w:val="single" w:sz="4" w:space="0" w:color="auto"/>
              <w:right w:val="single" w:sz="4" w:space="0" w:color="auto"/>
            </w:tcBorders>
            <w:shd w:val="clear" w:color="auto" w:fill="auto"/>
            <w:vAlign w:val="center"/>
            <w:hideMark/>
          </w:tcPr>
          <w:p w:rsidR="00CD1CE4" w:rsidRPr="00DC01CE" w:rsidRDefault="00CD1CE4" w:rsidP="002D7A1F">
            <w:pPr>
              <w:rPr>
                <w:sz w:val="16"/>
                <w:szCs w:val="16"/>
              </w:rPr>
            </w:pPr>
            <w:r w:rsidRPr="00DC01CE">
              <w:rPr>
                <w:sz w:val="16"/>
                <w:szCs w:val="16"/>
              </w:rPr>
              <w:t>POVJERENIK ZA INFORMIRANJE</w:t>
            </w:r>
          </w:p>
        </w:tc>
        <w:tc>
          <w:tcPr>
            <w:tcW w:w="1843" w:type="dxa"/>
            <w:tcBorders>
              <w:top w:val="nil"/>
              <w:left w:val="nil"/>
              <w:bottom w:val="single" w:sz="4" w:space="0" w:color="auto"/>
              <w:right w:val="single" w:sz="4" w:space="0" w:color="auto"/>
            </w:tcBorders>
            <w:shd w:val="clear" w:color="auto" w:fill="auto"/>
            <w:noWrap/>
            <w:vAlign w:val="center"/>
            <w:hideMark/>
          </w:tcPr>
          <w:p w:rsidR="00CD1CE4" w:rsidRPr="00DC01CE" w:rsidRDefault="00CD1CE4" w:rsidP="002D7A1F">
            <w:pPr>
              <w:jc w:val="right"/>
              <w:rPr>
                <w:color w:val="000000"/>
                <w:sz w:val="16"/>
                <w:szCs w:val="16"/>
              </w:rPr>
            </w:pPr>
            <w:r w:rsidRPr="00DC01CE">
              <w:rPr>
                <w:color w:val="000000"/>
                <w:sz w:val="16"/>
                <w:szCs w:val="16"/>
              </w:rPr>
              <w:t>0,00</w:t>
            </w:r>
          </w:p>
        </w:tc>
      </w:tr>
      <w:tr w:rsidR="00CD1CE4" w:rsidRPr="00DC01CE" w:rsidTr="00206BED">
        <w:trPr>
          <w:trHeight w:val="300"/>
        </w:trPr>
        <w:tc>
          <w:tcPr>
            <w:tcW w:w="7366" w:type="dxa"/>
            <w:gridSpan w:val="2"/>
            <w:tcBorders>
              <w:top w:val="single" w:sz="4" w:space="0" w:color="auto"/>
              <w:left w:val="single" w:sz="4" w:space="0" w:color="auto"/>
              <w:bottom w:val="single" w:sz="4" w:space="0" w:color="auto"/>
              <w:right w:val="single" w:sz="4" w:space="0" w:color="000000"/>
            </w:tcBorders>
            <w:shd w:val="clear" w:color="auto" w:fill="B8CCE4" w:themeFill="accent1" w:themeFillTint="66"/>
            <w:noWrap/>
            <w:vAlign w:val="center"/>
            <w:hideMark/>
          </w:tcPr>
          <w:p w:rsidR="00CD1CE4" w:rsidRPr="007736B4" w:rsidRDefault="00CD1CE4" w:rsidP="002D7A1F">
            <w:pPr>
              <w:jc w:val="center"/>
              <w:rPr>
                <w:b/>
                <w:bCs/>
                <w:sz w:val="20"/>
                <w:szCs w:val="20"/>
              </w:rPr>
            </w:pPr>
            <w:r w:rsidRPr="007736B4">
              <w:rPr>
                <w:b/>
                <w:bCs/>
                <w:sz w:val="20"/>
                <w:szCs w:val="20"/>
              </w:rPr>
              <w:t>UKUPNO</w:t>
            </w:r>
          </w:p>
        </w:tc>
        <w:tc>
          <w:tcPr>
            <w:tcW w:w="1843" w:type="dxa"/>
            <w:tcBorders>
              <w:top w:val="nil"/>
              <w:left w:val="nil"/>
              <w:bottom w:val="single" w:sz="4" w:space="0" w:color="auto"/>
              <w:right w:val="single" w:sz="4" w:space="0" w:color="auto"/>
            </w:tcBorders>
            <w:shd w:val="clear" w:color="auto" w:fill="B8CCE4" w:themeFill="accent1" w:themeFillTint="66"/>
            <w:vAlign w:val="center"/>
            <w:hideMark/>
          </w:tcPr>
          <w:p w:rsidR="00CD1CE4" w:rsidRPr="007736B4" w:rsidRDefault="00CD1CE4" w:rsidP="002D7A1F">
            <w:pPr>
              <w:jc w:val="right"/>
              <w:rPr>
                <w:b/>
                <w:bCs/>
                <w:sz w:val="20"/>
                <w:szCs w:val="20"/>
              </w:rPr>
            </w:pPr>
            <w:r w:rsidRPr="007736B4">
              <w:rPr>
                <w:b/>
                <w:bCs/>
                <w:sz w:val="20"/>
                <w:szCs w:val="20"/>
              </w:rPr>
              <w:t>5.967.174.890,48</w:t>
            </w:r>
          </w:p>
        </w:tc>
      </w:tr>
    </w:tbl>
    <w:p w:rsidR="00641296" w:rsidRDefault="00641296" w:rsidP="002D7A1F">
      <w:pPr>
        <w:rPr>
          <w:bCs/>
          <w:highlight w:val="yellow"/>
        </w:rPr>
      </w:pPr>
    </w:p>
    <w:p w:rsidR="00FD5A07" w:rsidRDefault="00FD5A07" w:rsidP="002D7A1F">
      <w:pPr>
        <w:rPr>
          <w:bCs/>
          <w:highlight w:val="yellow"/>
        </w:rPr>
      </w:pPr>
    </w:p>
    <w:p w:rsidR="00043F68" w:rsidRPr="0092324A" w:rsidRDefault="00DA2E60" w:rsidP="00DA2E60">
      <w:pPr>
        <w:keepNext/>
        <w:rPr>
          <w:bCs/>
          <w:i/>
        </w:rPr>
      </w:pPr>
      <w:r w:rsidRPr="00DA2E60">
        <w:rPr>
          <w:bCs/>
          <w:i/>
        </w:rPr>
        <w:t xml:space="preserve">Tablica 14. </w:t>
      </w:r>
      <w:r w:rsidR="00FD5A07" w:rsidRPr="00DA2E60">
        <w:rPr>
          <w:bCs/>
          <w:i/>
        </w:rPr>
        <w:t>Stanje nenaplaćenih potraživanja za prihode državnog proračuna i proračunskih korisnika državnog proračuna na dan 31.12.2019.</w:t>
      </w:r>
    </w:p>
    <w:tbl>
      <w:tblPr>
        <w:tblW w:w="9214" w:type="dxa"/>
        <w:tblInd w:w="108" w:type="dxa"/>
        <w:tblLook w:val="04A0" w:firstRow="1" w:lastRow="0" w:firstColumn="1" w:lastColumn="0" w:noHBand="0" w:noVBand="1"/>
      </w:tblPr>
      <w:tblGrid>
        <w:gridCol w:w="1057"/>
        <w:gridCol w:w="6314"/>
        <w:gridCol w:w="1843"/>
      </w:tblGrid>
      <w:tr w:rsidR="00043F68" w:rsidRPr="00AD00DD" w:rsidTr="00043F68">
        <w:trPr>
          <w:trHeight w:val="960"/>
        </w:trPr>
        <w:tc>
          <w:tcPr>
            <w:tcW w:w="1057"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43F68" w:rsidRPr="00AD00DD" w:rsidRDefault="00043F68" w:rsidP="00043F68">
            <w:pPr>
              <w:jc w:val="center"/>
              <w:rPr>
                <w:b/>
                <w:bCs/>
                <w:color w:val="000000"/>
                <w:sz w:val="16"/>
                <w:szCs w:val="16"/>
              </w:rPr>
            </w:pPr>
            <w:r w:rsidRPr="00AD00DD">
              <w:rPr>
                <w:b/>
                <w:bCs/>
                <w:color w:val="000000"/>
                <w:sz w:val="16"/>
                <w:szCs w:val="16"/>
              </w:rPr>
              <w:t>RAZDJEL</w:t>
            </w:r>
          </w:p>
        </w:tc>
        <w:tc>
          <w:tcPr>
            <w:tcW w:w="6314" w:type="dxa"/>
            <w:tcBorders>
              <w:top w:val="single" w:sz="4" w:space="0" w:color="auto"/>
              <w:left w:val="nil"/>
              <w:bottom w:val="single" w:sz="4" w:space="0" w:color="auto"/>
              <w:right w:val="single" w:sz="4" w:space="0" w:color="auto"/>
            </w:tcBorders>
            <w:shd w:val="clear" w:color="000000" w:fill="BDD7EE"/>
            <w:noWrap/>
            <w:vAlign w:val="center"/>
            <w:hideMark/>
          </w:tcPr>
          <w:p w:rsidR="00043F68" w:rsidRPr="00AD00DD" w:rsidRDefault="00043F68" w:rsidP="00043F68">
            <w:pPr>
              <w:jc w:val="center"/>
              <w:rPr>
                <w:b/>
                <w:bCs/>
                <w:sz w:val="16"/>
                <w:szCs w:val="16"/>
              </w:rPr>
            </w:pPr>
            <w:r w:rsidRPr="00AD00DD">
              <w:rPr>
                <w:b/>
                <w:bCs/>
                <w:sz w:val="16"/>
                <w:szCs w:val="16"/>
              </w:rPr>
              <w:t>NAZIV</w:t>
            </w:r>
          </w:p>
        </w:tc>
        <w:tc>
          <w:tcPr>
            <w:tcW w:w="1843" w:type="dxa"/>
            <w:tcBorders>
              <w:top w:val="single" w:sz="4" w:space="0" w:color="auto"/>
              <w:left w:val="nil"/>
              <w:bottom w:val="single" w:sz="4" w:space="0" w:color="auto"/>
              <w:right w:val="single" w:sz="4" w:space="0" w:color="auto"/>
            </w:tcBorders>
            <w:shd w:val="clear" w:color="000000" w:fill="BDD7EE"/>
            <w:vAlign w:val="center"/>
            <w:hideMark/>
          </w:tcPr>
          <w:p w:rsidR="00043F68" w:rsidRPr="00AD00DD" w:rsidRDefault="00043F68" w:rsidP="00043F68">
            <w:pPr>
              <w:jc w:val="center"/>
              <w:rPr>
                <w:b/>
                <w:bCs/>
                <w:sz w:val="16"/>
                <w:szCs w:val="16"/>
              </w:rPr>
            </w:pPr>
            <w:r w:rsidRPr="00AD00DD">
              <w:rPr>
                <w:b/>
                <w:bCs/>
                <w:sz w:val="16"/>
                <w:szCs w:val="16"/>
              </w:rPr>
              <w:t>STANJE NENAPLAĆENIH POTRAŽIVANJA NA DAN 31.12.2019.*</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010</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HRVATSKI SABOR</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0</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012</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DRŽAVNO IZBORNO POVJERENSTVO</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0</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015</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URED PREDSJEDNICE RH</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0</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017</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USTAVNI SUD REPUBLIKE HRVATSKE</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0</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018</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AGENCIJA ZA ZAŠTITU TRŽIŠNOG NATJECANJA</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36.931</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020</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VLADA REPUBLIKE HRVATSKE</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13.353</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025</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MINISTARSTVO FINANCIJA</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7.960.954.420</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027</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RH SIGURNOSNO-OBAVJEŠTAJNA AGENCIJA</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198.656</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028</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SREDIŠNJI DRŽAVNI URED ZA SREDIŠNJU JAVNU NABAVU</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0</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030</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MINISTARSTVO OBRANE RH</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605.015.064</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032</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SREDIŠNJI DRŽAVNI URED ZA HRVATE IZVAN RH</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59.890</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033</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SREDIŠNJI DRŽ. URED ZA OBNOVU I STAMBENO ZBRINJAVANJE</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42.909.719</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034</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SREDIŠNJI DRŽAVNI URED ZA RAZVOJ DIGITLNOG DRUŠTVA</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62.117</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036</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SREDIŠNJI DRŽAVNI URED ZA ŠPORT</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0</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lastRenderedPageBreak/>
              <w:t>040</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MINISTARSTVO UNUTARNJIH POSLOVA</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262.197.616</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041</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MINISTARSTVO HRVATSKIH BRANITELJA</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2.674.356</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048</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MINISTARSTVO VANJSKIH I EUROPSKIH POSLOVA</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0</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049</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MINISTARSTVO GOSPODARSTVA, PODUZETNIŠTVA I OBRTA</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78.067.327</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052</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POVJERENSTVO ZA ODLUČIVANJE O SUKOBU INTERESA</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0</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054</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MINISTARSTVO DRŽAVNE IMOVINE</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296.332.551</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055</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MINISTARSTVO KULTURE</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36.643.541</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060</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MINISTARSTVO POLJOPRIVREDE</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115.051.089</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061</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MINISTARSTVO REGIONALNOGA RAZVOJA I FONDOVA EU</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5.467.397</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065</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MINISTARSTVO MORA, PROMETA I INFRASTRUKTURE</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175.412.547</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076</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MINISTARSTVO GRADITELJSTVA I PROSTORNOGA UREĐENJA</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649.321.946</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077</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MINISTARSTVO ZAŠTITE OKOLIŠA I ENERGETIKE</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123.944.136</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080</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MINISTARSTVO ZNANOSTI I OBRAZOVANJA</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389.960.779</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086</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MINISTARSTVO RADA I MIROVINSKOGA SUSTAVA</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36.495.345</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090</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MINISTARSTVO TURIZMA</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5.531.914</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095</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MINISTARSTVO UPRAVE</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93.145</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096</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MINISTARSTVO ZDRAVSTVA**</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618.809.151</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102</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MINISTARSTVO ZA DEMOGRAFIJU, OBITELJ, MLADE I SOCIJALNU POLITIKU</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18.210.466</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106</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HRVATSKA AKADEMIJA ZNANOSTI I UMJETNOSTI</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802.523</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110</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MINISTARSTVO PRAVOSUĐA</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194.987.831</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120</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URED PUČKOG PRAVOBRANITELJA</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0</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121</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PRAVOBRANITELJ ZA DJECU</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0</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122</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PRAVOBRANITELJICA ZA RAVNOPRAVNOST SPOLOVA</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0</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123</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PRAVOBRANITELJICA ZA OSOBE S INVALIDITETOM</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0</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160</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DRŽAVNI ZAVOD ZA STATISTIKU</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5.704.189</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185</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DRŽAVNI URED ZA REVIZIJU</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0</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196</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DRŽAVNA KOMISIJA ZA KONTROLU POSTUPAKA JAVNE NABAVE</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0</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225</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DRŽAVNI INSPEKTORAT</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43.980.998</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240</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URED VIJEĆA ZA NACIONALNU SIGURNOST</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0</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241</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OPERATIVNO-TEHNIČKI CENTAR ZA NADZOR TELEKOMUNIKACIJA</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0</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242</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ZAVOD ZA SIGURNOST INFORMACIJSKIH SUSTAVA</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0</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250</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AGENCIJA ZA ZAŠTITU OSOBNIH PODATAKA</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0</w:t>
            </w:r>
          </w:p>
        </w:tc>
      </w:tr>
      <w:tr w:rsidR="00043F68" w:rsidRPr="00043F68" w:rsidTr="00043F68">
        <w:trPr>
          <w:trHeight w:val="30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43F68" w:rsidRPr="00043F68" w:rsidRDefault="00043F68" w:rsidP="00043F68">
            <w:pPr>
              <w:jc w:val="center"/>
              <w:rPr>
                <w:color w:val="000000"/>
                <w:sz w:val="18"/>
                <w:szCs w:val="18"/>
              </w:rPr>
            </w:pPr>
            <w:r w:rsidRPr="00043F68">
              <w:rPr>
                <w:color w:val="000000"/>
                <w:sz w:val="18"/>
                <w:szCs w:val="18"/>
              </w:rPr>
              <w:t>258</w:t>
            </w:r>
          </w:p>
        </w:tc>
        <w:tc>
          <w:tcPr>
            <w:tcW w:w="6314"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rPr>
                <w:color w:val="000000"/>
                <w:sz w:val="18"/>
                <w:szCs w:val="18"/>
              </w:rPr>
            </w:pPr>
            <w:r w:rsidRPr="00043F68">
              <w:rPr>
                <w:color w:val="000000"/>
                <w:sz w:val="18"/>
                <w:szCs w:val="18"/>
              </w:rPr>
              <w:t>POVJERENIK ZA INFORMIRANJE</w:t>
            </w:r>
          </w:p>
        </w:tc>
        <w:tc>
          <w:tcPr>
            <w:tcW w:w="1843" w:type="dxa"/>
            <w:tcBorders>
              <w:top w:val="nil"/>
              <w:left w:val="nil"/>
              <w:bottom w:val="single" w:sz="4" w:space="0" w:color="auto"/>
              <w:right w:val="single" w:sz="4" w:space="0" w:color="auto"/>
            </w:tcBorders>
            <w:shd w:val="clear" w:color="auto" w:fill="auto"/>
            <w:vAlign w:val="center"/>
            <w:hideMark/>
          </w:tcPr>
          <w:p w:rsidR="00043F68" w:rsidRPr="00043F68" w:rsidRDefault="00043F68" w:rsidP="00043F68">
            <w:pPr>
              <w:jc w:val="right"/>
              <w:rPr>
                <w:color w:val="000000"/>
                <w:sz w:val="18"/>
                <w:szCs w:val="18"/>
              </w:rPr>
            </w:pPr>
            <w:r w:rsidRPr="00043F68">
              <w:rPr>
                <w:color w:val="000000"/>
                <w:sz w:val="18"/>
                <w:szCs w:val="18"/>
              </w:rPr>
              <w:t>12</w:t>
            </w:r>
          </w:p>
        </w:tc>
      </w:tr>
      <w:tr w:rsidR="00043F68" w:rsidRPr="00043F68" w:rsidTr="00043F68">
        <w:trPr>
          <w:trHeight w:val="300"/>
        </w:trPr>
        <w:tc>
          <w:tcPr>
            <w:tcW w:w="1057"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43F68" w:rsidRPr="00043F68" w:rsidRDefault="00043F68" w:rsidP="00043F68">
            <w:pPr>
              <w:jc w:val="center"/>
              <w:rPr>
                <w:b/>
                <w:bCs/>
                <w:color w:val="000000"/>
                <w:sz w:val="18"/>
                <w:szCs w:val="18"/>
              </w:rPr>
            </w:pPr>
            <w:r w:rsidRPr="00043F68">
              <w:rPr>
                <w:b/>
                <w:bCs/>
                <w:color w:val="000000"/>
                <w:sz w:val="18"/>
                <w:szCs w:val="18"/>
              </w:rPr>
              <w:t> </w:t>
            </w:r>
          </w:p>
        </w:tc>
        <w:tc>
          <w:tcPr>
            <w:tcW w:w="6314" w:type="dxa"/>
            <w:tcBorders>
              <w:top w:val="single" w:sz="4" w:space="0" w:color="auto"/>
              <w:left w:val="nil"/>
              <w:bottom w:val="single" w:sz="4" w:space="0" w:color="auto"/>
              <w:right w:val="single" w:sz="4" w:space="0" w:color="auto"/>
            </w:tcBorders>
            <w:shd w:val="clear" w:color="000000" w:fill="BDD7EE"/>
            <w:noWrap/>
            <w:vAlign w:val="center"/>
            <w:hideMark/>
          </w:tcPr>
          <w:p w:rsidR="00043F68" w:rsidRPr="00043F68" w:rsidRDefault="00043F68" w:rsidP="00043F68">
            <w:pPr>
              <w:jc w:val="center"/>
              <w:rPr>
                <w:b/>
                <w:bCs/>
                <w:sz w:val="18"/>
                <w:szCs w:val="18"/>
              </w:rPr>
            </w:pPr>
            <w:r w:rsidRPr="00043F68">
              <w:rPr>
                <w:b/>
                <w:bCs/>
                <w:sz w:val="18"/>
                <w:szCs w:val="18"/>
              </w:rPr>
              <w:t>UKUPNO</w:t>
            </w:r>
          </w:p>
        </w:tc>
        <w:tc>
          <w:tcPr>
            <w:tcW w:w="1843" w:type="dxa"/>
            <w:tcBorders>
              <w:top w:val="single" w:sz="4" w:space="0" w:color="auto"/>
              <w:left w:val="nil"/>
              <w:bottom w:val="single" w:sz="4" w:space="0" w:color="auto"/>
              <w:right w:val="single" w:sz="4" w:space="0" w:color="auto"/>
            </w:tcBorders>
            <w:shd w:val="clear" w:color="000000" w:fill="BDD7EE"/>
            <w:noWrap/>
            <w:vAlign w:val="center"/>
            <w:hideMark/>
          </w:tcPr>
          <w:p w:rsidR="00043F68" w:rsidRPr="00043F68" w:rsidRDefault="00043F68" w:rsidP="00043F68">
            <w:pPr>
              <w:jc w:val="right"/>
              <w:rPr>
                <w:b/>
                <w:bCs/>
                <w:sz w:val="18"/>
                <w:szCs w:val="18"/>
              </w:rPr>
            </w:pPr>
            <w:r w:rsidRPr="00043F68">
              <w:rPr>
                <w:b/>
                <w:bCs/>
                <w:sz w:val="18"/>
                <w:szCs w:val="18"/>
              </w:rPr>
              <w:t>11.668.939.009</w:t>
            </w:r>
          </w:p>
        </w:tc>
      </w:tr>
    </w:tbl>
    <w:p w:rsidR="00DA2E60" w:rsidRDefault="00DA2E60" w:rsidP="00206BED">
      <w:pPr>
        <w:jc w:val="both"/>
        <w:rPr>
          <w:bCs/>
        </w:rPr>
      </w:pPr>
      <w:r w:rsidRPr="00DA2E60">
        <w:rPr>
          <w:bCs/>
        </w:rPr>
        <w:t>*U izračunu stanja nenaplaćenih potraživanja ulaze ukupna potraživanja za prihode poslovanja i prihode od prodaje nefinancijske imovine (s uključenim ispravkom vrijednosti potraživanja) umanjena za potraživanja za prihode proračunskih korisnika uplaćene u proračun.</w:t>
      </w:r>
    </w:p>
    <w:p w:rsidR="00DA2E60" w:rsidRPr="00FD5A07" w:rsidRDefault="00DA2E60" w:rsidP="00206BED">
      <w:pPr>
        <w:jc w:val="both"/>
        <w:rPr>
          <w:bCs/>
          <w:highlight w:val="yellow"/>
        </w:rPr>
      </w:pPr>
      <w:r w:rsidRPr="00DA2E60">
        <w:rPr>
          <w:bCs/>
        </w:rPr>
        <w:t>**Uključena su i potraživanja bolnica i drugih ustanova u zdravstvu kojima je osnivač Republika Hrvatska prema HZZO-u.</w:t>
      </w:r>
    </w:p>
    <w:p w:rsidR="00641296" w:rsidRPr="00206BED" w:rsidRDefault="00641296" w:rsidP="00641296">
      <w:pPr>
        <w:pStyle w:val="Naslov3"/>
        <w:spacing w:line="276" w:lineRule="auto"/>
        <w:rPr>
          <w:rFonts w:ascii="Times New Roman" w:hAnsi="Times New Roman"/>
          <w:sz w:val="28"/>
          <w:szCs w:val="28"/>
        </w:rPr>
      </w:pPr>
      <w:r>
        <w:rPr>
          <w:b w:val="0"/>
          <w:bCs w:val="0"/>
          <w:sz w:val="28"/>
          <w:szCs w:val="28"/>
          <w:highlight w:val="yellow"/>
        </w:rPr>
        <w:br w:type="page"/>
      </w:r>
      <w:r w:rsidRPr="00206BED">
        <w:rPr>
          <w:rFonts w:ascii="Times New Roman" w:hAnsi="Times New Roman"/>
          <w:sz w:val="28"/>
          <w:szCs w:val="28"/>
        </w:rPr>
        <w:lastRenderedPageBreak/>
        <w:t>RAČUN FINANCIRANJA DRŽAVNOG PRORAČUNA</w:t>
      </w:r>
    </w:p>
    <w:p w:rsidR="00641296" w:rsidRPr="006855EF" w:rsidRDefault="00641296" w:rsidP="00641296">
      <w:pPr>
        <w:spacing w:line="276" w:lineRule="auto"/>
      </w:pPr>
    </w:p>
    <w:p w:rsidR="00641296" w:rsidRPr="006855EF" w:rsidRDefault="00641296" w:rsidP="00206BED">
      <w:pPr>
        <w:spacing w:line="276" w:lineRule="auto"/>
        <w:jc w:val="both"/>
      </w:pPr>
      <w:r w:rsidRPr="006855EF">
        <w:t>U</w:t>
      </w:r>
      <w:r>
        <w:t xml:space="preserve"> </w:t>
      </w:r>
      <w:r w:rsidRPr="006855EF">
        <w:t>2019. godin</w:t>
      </w:r>
      <w:r>
        <w:t>i</w:t>
      </w:r>
      <w:r w:rsidRPr="006855EF">
        <w:t xml:space="preserve"> ukupni prihodi (prihodi poslovanja i prihodi od prodaje nefinancijske imovine) ostvareni su u iznosu od 139,9 milijardi kuna, a rashodi (rashodi poslovanja i rashodi za nabavu nefinancijske imovine) u iznosu od 139,9 milijardi kuna. </w:t>
      </w:r>
    </w:p>
    <w:p w:rsidR="00641296" w:rsidRPr="00206BED" w:rsidRDefault="00641296" w:rsidP="00206BED">
      <w:pPr>
        <w:spacing w:line="276" w:lineRule="auto"/>
        <w:jc w:val="both"/>
        <w:rPr>
          <w:lang w:val="en-US"/>
        </w:rPr>
      </w:pPr>
    </w:p>
    <w:p w:rsidR="00641296" w:rsidRPr="00206BED" w:rsidRDefault="00641296" w:rsidP="00206BED">
      <w:pPr>
        <w:spacing w:line="276" w:lineRule="auto"/>
        <w:jc w:val="both"/>
      </w:pPr>
      <w:r w:rsidRPr="00206BED">
        <w:t>U nastavku daje se prikaz plana i izvršenja računa prihoda i rashoda državnog proračuna i plana i izvršenja računa financiranja za 2019. godinu.</w:t>
      </w:r>
    </w:p>
    <w:p w:rsidR="00641296" w:rsidRPr="00206BED" w:rsidRDefault="00641296" w:rsidP="00641296">
      <w:pPr>
        <w:spacing w:line="276" w:lineRule="auto"/>
        <w:rPr>
          <w:b/>
        </w:rPr>
      </w:pPr>
    </w:p>
    <w:p w:rsidR="00641296" w:rsidRDefault="00641296" w:rsidP="00641296">
      <w:pPr>
        <w:spacing w:line="276" w:lineRule="auto"/>
        <w:rPr>
          <w:sz w:val="20"/>
          <w:szCs w:val="20"/>
        </w:rPr>
      </w:pPr>
      <w:r w:rsidRPr="00206BED">
        <w:rPr>
          <w:i/>
        </w:rPr>
        <w:t xml:space="preserve">Tablica </w:t>
      </w:r>
      <w:r w:rsidR="00206BED" w:rsidRPr="00206BED">
        <w:rPr>
          <w:i/>
        </w:rPr>
        <w:t>14</w:t>
      </w:r>
      <w:r w:rsidRPr="00206BED">
        <w:rPr>
          <w:i/>
        </w:rPr>
        <w:t>. Račun prihoda i rashoda i Račun financiranja za 2019. godinu</w:t>
      </w:r>
    </w:p>
    <w:p w:rsidR="00641296" w:rsidRPr="00206BED" w:rsidRDefault="00206BED" w:rsidP="00641296">
      <w:pPr>
        <w:spacing w:line="276" w:lineRule="auto"/>
        <w:rPr>
          <w:b/>
        </w:rPr>
      </w:pPr>
      <w:r w:rsidRPr="00F460FA">
        <w:rPr>
          <w:b/>
          <w:bCs/>
        </w:rPr>
        <w:t>A. Račun prihoda i rashoda</w:t>
      </w:r>
    </w:p>
    <w:tbl>
      <w:tblPr>
        <w:tblW w:w="9356" w:type="dxa"/>
        <w:tblInd w:w="108" w:type="dxa"/>
        <w:tblLook w:val="04A0" w:firstRow="1" w:lastRow="0" w:firstColumn="1" w:lastColumn="0" w:noHBand="0" w:noVBand="1"/>
      </w:tblPr>
      <w:tblGrid>
        <w:gridCol w:w="4678"/>
        <w:gridCol w:w="1658"/>
        <w:gridCol w:w="1724"/>
        <w:gridCol w:w="1296"/>
      </w:tblGrid>
      <w:tr w:rsidR="00641296" w:rsidRPr="00352AA8" w:rsidTr="00BF25F0">
        <w:trPr>
          <w:trHeight w:val="738"/>
        </w:trPr>
        <w:tc>
          <w:tcPr>
            <w:tcW w:w="4678" w:type="dxa"/>
            <w:tcBorders>
              <w:top w:val="single" w:sz="4" w:space="0" w:color="auto"/>
              <w:left w:val="single" w:sz="4" w:space="0" w:color="auto"/>
              <w:bottom w:val="nil"/>
              <w:right w:val="single" w:sz="4" w:space="0" w:color="333333"/>
            </w:tcBorders>
            <w:shd w:val="clear" w:color="000000" w:fill="C5D9F1"/>
            <w:noWrap/>
            <w:vAlign w:val="bottom"/>
            <w:hideMark/>
          </w:tcPr>
          <w:p w:rsidR="00641296" w:rsidRPr="00352AA8" w:rsidRDefault="00641296" w:rsidP="00BF25F0">
            <w:pPr>
              <w:spacing w:line="276" w:lineRule="auto"/>
              <w:jc w:val="center"/>
              <w:rPr>
                <w:sz w:val="20"/>
                <w:szCs w:val="20"/>
              </w:rPr>
            </w:pPr>
            <w:r w:rsidRPr="00352AA8">
              <w:rPr>
                <w:sz w:val="20"/>
                <w:szCs w:val="20"/>
              </w:rPr>
              <w:t>(u kunama)</w:t>
            </w:r>
          </w:p>
        </w:tc>
        <w:tc>
          <w:tcPr>
            <w:tcW w:w="1658"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641296" w:rsidRPr="00352AA8" w:rsidRDefault="00641296" w:rsidP="00BF25F0">
            <w:pPr>
              <w:spacing w:line="276" w:lineRule="auto"/>
              <w:jc w:val="center"/>
              <w:rPr>
                <w:b/>
                <w:bCs/>
                <w:sz w:val="20"/>
                <w:szCs w:val="20"/>
              </w:rPr>
            </w:pPr>
            <w:r w:rsidRPr="00352AA8">
              <w:rPr>
                <w:b/>
                <w:bCs/>
                <w:sz w:val="20"/>
                <w:szCs w:val="20"/>
              </w:rPr>
              <w:t>Plan</w:t>
            </w:r>
            <w:r w:rsidRPr="00352AA8">
              <w:rPr>
                <w:b/>
                <w:bCs/>
                <w:sz w:val="20"/>
                <w:szCs w:val="20"/>
              </w:rPr>
              <w:br/>
              <w:t>2019.</w:t>
            </w:r>
          </w:p>
        </w:tc>
        <w:tc>
          <w:tcPr>
            <w:tcW w:w="1724" w:type="dxa"/>
            <w:tcBorders>
              <w:top w:val="single" w:sz="4" w:space="0" w:color="auto"/>
              <w:left w:val="nil"/>
              <w:bottom w:val="single" w:sz="4" w:space="0" w:color="auto"/>
              <w:right w:val="single" w:sz="4" w:space="0" w:color="auto"/>
            </w:tcBorders>
            <w:shd w:val="clear" w:color="000000" w:fill="C5D9F1"/>
            <w:vAlign w:val="center"/>
            <w:hideMark/>
          </w:tcPr>
          <w:p w:rsidR="00641296" w:rsidRPr="00352AA8" w:rsidRDefault="00641296" w:rsidP="00BF25F0">
            <w:pPr>
              <w:spacing w:line="276" w:lineRule="auto"/>
              <w:jc w:val="center"/>
              <w:rPr>
                <w:b/>
                <w:bCs/>
                <w:sz w:val="20"/>
                <w:szCs w:val="20"/>
              </w:rPr>
            </w:pPr>
            <w:r w:rsidRPr="00352AA8">
              <w:rPr>
                <w:b/>
                <w:bCs/>
                <w:sz w:val="20"/>
                <w:szCs w:val="20"/>
              </w:rPr>
              <w:t>Izvršenje</w:t>
            </w:r>
            <w:r w:rsidRPr="00352AA8">
              <w:rPr>
                <w:b/>
                <w:bCs/>
                <w:sz w:val="20"/>
                <w:szCs w:val="20"/>
              </w:rPr>
              <w:br/>
              <w:t>2019.</w:t>
            </w:r>
          </w:p>
        </w:tc>
        <w:tc>
          <w:tcPr>
            <w:tcW w:w="1296" w:type="dxa"/>
            <w:tcBorders>
              <w:top w:val="single" w:sz="4" w:space="0" w:color="auto"/>
              <w:left w:val="nil"/>
              <w:bottom w:val="single" w:sz="4" w:space="0" w:color="auto"/>
              <w:right w:val="single" w:sz="4" w:space="0" w:color="auto"/>
            </w:tcBorders>
            <w:shd w:val="clear" w:color="000000" w:fill="C5D9F1"/>
            <w:vAlign w:val="center"/>
            <w:hideMark/>
          </w:tcPr>
          <w:p w:rsidR="00641296" w:rsidRPr="00352AA8" w:rsidRDefault="00641296" w:rsidP="00BF25F0">
            <w:pPr>
              <w:spacing w:line="276" w:lineRule="auto"/>
              <w:jc w:val="center"/>
              <w:rPr>
                <w:b/>
                <w:bCs/>
                <w:sz w:val="20"/>
                <w:szCs w:val="20"/>
              </w:rPr>
            </w:pPr>
            <w:r w:rsidRPr="00352AA8">
              <w:rPr>
                <w:b/>
                <w:bCs/>
                <w:sz w:val="20"/>
                <w:szCs w:val="20"/>
              </w:rPr>
              <w:t>Indeks</w:t>
            </w:r>
            <w:r w:rsidRPr="00352AA8">
              <w:rPr>
                <w:b/>
                <w:bCs/>
                <w:sz w:val="20"/>
                <w:szCs w:val="20"/>
              </w:rPr>
              <w:br/>
              <w:t>Izvršenje 2019./Plan 2019.</w:t>
            </w:r>
          </w:p>
        </w:tc>
      </w:tr>
      <w:tr w:rsidR="00641296" w:rsidRPr="00352AA8" w:rsidTr="00BF25F0">
        <w:trPr>
          <w:trHeight w:val="215"/>
        </w:trPr>
        <w:tc>
          <w:tcPr>
            <w:tcW w:w="4678" w:type="dxa"/>
            <w:tcBorders>
              <w:top w:val="nil"/>
              <w:left w:val="single" w:sz="4" w:space="0" w:color="auto"/>
              <w:bottom w:val="single" w:sz="4" w:space="0" w:color="333333"/>
              <w:right w:val="single" w:sz="4" w:space="0" w:color="333333"/>
            </w:tcBorders>
            <w:shd w:val="clear" w:color="000000" w:fill="C5D9F1"/>
            <w:noWrap/>
            <w:vAlign w:val="bottom"/>
            <w:hideMark/>
          </w:tcPr>
          <w:p w:rsidR="00641296" w:rsidRPr="00352AA8" w:rsidRDefault="00641296" w:rsidP="00BF25F0">
            <w:pPr>
              <w:spacing w:line="276" w:lineRule="auto"/>
              <w:rPr>
                <w:sz w:val="20"/>
                <w:szCs w:val="20"/>
              </w:rPr>
            </w:pPr>
            <w:r w:rsidRPr="00352AA8">
              <w:rPr>
                <w:sz w:val="20"/>
                <w:szCs w:val="20"/>
              </w:rPr>
              <w:t> </w:t>
            </w:r>
          </w:p>
        </w:tc>
        <w:tc>
          <w:tcPr>
            <w:tcW w:w="1658" w:type="dxa"/>
            <w:tcBorders>
              <w:top w:val="nil"/>
              <w:left w:val="single" w:sz="4" w:space="0" w:color="auto"/>
              <w:bottom w:val="single" w:sz="4" w:space="0" w:color="auto"/>
              <w:right w:val="single" w:sz="4" w:space="0" w:color="auto"/>
            </w:tcBorders>
            <w:shd w:val="clear" w:color="000000" w:fill="C5D9F1"/>
            <w:noWrap/>
            <w:vAlign w:val="center"/>
            <w:hideMark/>
          </w:tcPr>
          <w:p w:rsidR="00641296" w:rsidRPr="00352AA8" w:rsidRDefault="00641296" w:rsidP="00BF25F0">
            <w:pPr>
              <w:spacing w:line="276" w:lineRule="auto"/>
              <w:jc w:val="center"/>
              <w:rPr>
                <w:b/>
                <w:bCs/>
                <w:sz w:val="20"/>
                <w:szCs w:val="20"/>
              </w:rPr>
            </w:pPr>
            <w:r w:rsidRPr="00352AA8">
              <w:rPr>
                <w:b/>
                <w:bCs/>
                <w:sz w:val="20"/>
                <w:szCs w:val="20"/>
              </w:rPr>
              <w:t>1</w:t>
            </w:r>
          </w:p>
        </w:tc>
        <w:tc>
          <w:tcPr>
            <w:tcW w:w="1724" w:type="dxa"/>
            <w:tcBorders>
              <w:top w:val="nil"/>
              <w:left w:val="nil"/>
              <w:bottom w:val="single" w:sz="4" w:space="0" w:color="auto"/>
              <w:right w:val="single" w:sz="4" w:space="0" w:color="auto"/>
            </w:tcBorders>
            <w:shd w:val="clear" w:color="000000" w:fill="C5D9F1"/>
            <w:noWrap/>
            <w:vAlign w:val="center"/>
            <w:hideMark/>
          </w:tcPr>
          <w:p w:rsidR="00641296" w:rsidRPr="00352AA8" w:rsidRDefault="00641296" w:rsidP="00BF25F0">
            <w:pPr>
              <w:spacing w:line="276" w:lineRule="auto"/>
              <w:jc w:val="center"/>
              <w:rPr>
                <w:b/>
                <w:bCs/>
                <w:sz w:val="20"/>
                <w:szCs w:val="20"/>
              </w:rPr>
            </w:pPr>
            <w:r w:rsidRPr="00352AA8">
              <w:rPr>
                <w:b/>
                <w:bCs/>
                <w:sz w:val="20"/>
                <w:szCs w:val="20"/>
              </w:rPr>
              <w:t>2</w:t>
            </w:r>
          </w:p>
        </w:tc>
        <w:tc>
          <w:tcPr>
            <w:tcW w:w="1296" w:type="dxa"/>
            <w:tcBorders>
              <w:top w:val="nil"/>
              <w:left w:val="nil"/>
              <w:bottom w:val="nil"/>
              <w:right w:val="single" w:sz="4" w:space="0" w:color="auto"/>
            </w:tcBorders>
            <w:shd w:val="clear" w:color="000000" w:fill="C5D9F1"/>
            <w:noWrap/>
            <w:vAlign w:val="center"/>
            <w:hideMark/>
          </w:tcPr>
          <w:p w:rsidR="00641296" w:rsidRPr="00352AA8" w:rsidRDefault="00641296" w:rsidP="00BF25F0">
            <w:pPr>
              <w:spacing w:line="276" w:lineRule="auto"/>
              <w:jc w:val="center"/>
              <w:rPr>
                <w:b/>
                <w:bCs/>
                <w:sz w:val="20"/>
                <w:szCs w:val="20"/>
              </w:rPr>
            </w:pPr>
            <w:r w:rsidRPr="00352AA8">
              <w:rPr>
                <w:b/>
                <w:bCs/>
                <w:sz w:val="20"/>
                <w:szCs w:val="20"/>
              </w:rPr>
              <w:t>3=2/1</w:t>
            </w:r>
          </w:p>
        </w:tc>
      </w:tr>
      <w:tr w:rsidR="00641296" w:rsidRPr="00352AA8" w:rsidTr="00BF25F0">
        <w:trPr>
          <w:trHeight w:val="270"/>
        </w:trPr>
        <w:tc>
          <w:tcPr>
            <w:tcW w:w="4678" w:type="dxa"/>
            <w:tcBorders>
              <w:top w:val="nil"/>
              <w:left w:val="single" w:sz="4" w:space="0" w:color="auto"/>
              <w:bottom w:val="nil"/>
              <w:right w:val="single" w:sz="4" w:space="0" w:color="auto"/>
            </w:tcBorders>
            <w:shd w:val="clear" w:color="auto" w:fill="auto"/>
            <w:noWrap/>
            <w:vAlign w:val="center"/>
            <w:hideMark/>
          </w:tcPr>
          <w:p w:rsidR="00641296" w:rsidRPr="00352AA8" w:rsidRDefault="00641296" w:rsidP="00BF25F0">
            <w:pPr>
              <w:spacing w:line="276" w:lineRule="auto"/>
              <w:rPr>
                <w:sz w:val="20"/>
                <w:szCs w:val="20"/>
              </w:rPr>
            </w:pPr>
            <w:r w:rsidRPr="00352AA8">
              <w:rPr>
                <w:sz w:val="20"/>
                <w:szCs w:val="20"/>
              </w:rPr>
              <w:t>Prihodi poslovanja</w:t>
            </w:r>
          </w:p>
        </w:tc>
        <w:tc>
          <w:tcPr>
            <w:tcW w:w="1658" w:type="dxa"/>
            <w:tcBorders>
              <w:top w:val="nil"/>
              <w:left w:val="single" w:sz="4" w:space="0" w:color="auto"/>
              <w:bottom w:val="nil"/>
              <w:right w:val="single" w:sz="4" w:space="0" w:color="333333"/>
            </w:tcBorders>
            <w:shd w:val="clear" w:color="auto" w:fill="auto"/>
            <w:noWrap/>
            <w:vAlign w:val="center"/>
            <w:hideMark/>
          </w:tcPr>
          <w:p w:rsidR="00641296" w:rsidRPr="00352AA8" w:rsidRDefault="00641296" w:rsidP="00BF25F0">
            <w:pPr>
              <w:spacing w:line="276" w:lineRule="auto"/>
              <w:jc w:val="right"/>
              <w:rPr>
                <w:color w:val="000000"/>
                <w:sz w:val="20"/>
                <w:szCs w:val="20"/>
              </w:rPr>
            </w:pPr>
            <w:r w:rsidRPr="00352AA8">
              <w:rPr>
                <w:color w:val="000000"/>
                <w:sz w:val="20"/>
                <w:szCs w:val="20"/>
              </w:rPr>
              <w:t>136.743.244.925</w:t>
            </w:r>
          </w:p>
        </w:tc>
        <w:tc>
          <w:tcPr>
            <w:tcW w:w="1724" w:type="dxa"/>
            <w:tcBorders>
              <w:top w:val="single" w:sz="4" w:space="0" w:color="333333"/>
              <w:left w:val="nil"/>
              <w:bottom w:val="nil"/>
              <w:right w:val="nil"/>
            </w:tcBorders>
            <w:shd w:val="clear" w:color="auto" w:fill="auto"/>
            <w:noWrap/>
            <w:vAlign w:val="center"/>
            <w:hideMark/>
          </w:tcPr>
          <w:p w:rsidR="00641296" w:rsidRPr="00352AA8" w:rsidRDefault="00641296" w:rsidP="00BF25F0">
            <w:pPr>
              <w:spacing w:line="276" w:lineRule="auto"/>
              <w:jc w:val="right"/>
              <w:rPr>
                <w:color w:val="000000"/>
                <w:sz w:val="20"/>
                <w:szCs w:val="20"/>
              </w:rPr>
            </w:pPr>
            <w:r w:rsidRPr="00352AA8">
              <w:rPr>
                <w:color w:val="000000"/>
                <w:sz w:val="20"/>
                <w:szCs w:val="20"/>
              </w:rPr>
              <w:t>138.853.707.364</w:t>
            </w:r>
          </w:p>
        </w:tc>
        <w:tc>
          <w:tcPr>
            <w:tcW w:w="1296" w:type="dxa"/>
            <w:tcBorders>
              <w:top w:val="single" w:sz="4" w:space="0" w:color="auto"/>
              <w:left w:val="single" w:sz="4" w:space="0" w:color="auto"/>
              <w:bottom w:val="nil"/>
              <w:right w:val="single" w:sz="4" w:space="0" w:color="auto"/>
            </w:tcBorders>
            <w:shd w:val="clear" w:color="auto" w:fill="auto"/>
            <w:noWrap/>
            <w:vAlign w:val="bottom"/>
            <w:hideMark/>
          </w:tcPr>
          <w:p w:rsidR="00641296" w:rsidRPr="00352AA8" w:rsidRDefault="00641296" w:rsidP="00BF25F0">
            <w:pPr>
              <w:spacing w:line="276" w:lineRule="auto"/>
              <w:jc w:val="center"/>
              <w:rPr>
                <w:sz w:val="20"/>
                <w:szCs w:val="20"/>
              </w:rPr>
            </w:pPr>
            <w:r w:rsidRPr="00352AA8">
              <w:rPr>
                <w:sz w:val="20"/>
                <w:szCs w:val="20"/>
              </w:rPr>
              <w:t>101,5</w:t>
            </w:r>
          </w:p>
        </w:tc>
      </w:tr>
      <w:tr w:rsidR="00641296" w:rsidRPr="00352AA8" w:rsidTr="00BF25F0">
        <w:trPr>
          <w:trHeight w:val="270"/>
        </w:trPr>
        <w:tc>
          <w:tcPr>
            <w:tcW w:w="4678" w:type="dxa"/>
            <w:tcBorders>
              <w:top w:val="nil"/>
              <w:left w:val="single" w:sz="4" w:space="0" w:color="auto"/>
              <w:bottom w:val="nil"/>
              <w:right w:val="single" w:sz="4" w:space="0" w:color="auto"/>
            </w:tcBorders>
            <w:shd w:val="clear" w:color="auto" w:fill="auto"/>
            <w:noWrap/>
            <w:vAlign w:val="center"/>
            <w:hideMark/>
          </w:tcPr>
          <w:p w:rsidR="00641296" w:rsidRPr="00352AA8" w:rsidRDefault="00641296" w:rsidP="00BF25F0">
            <w:pPr>
              <w:spacing w:line="276" w:lineRule="auto"/>
              <w:rPr>
                <w:sz w:val="20"/>
                <w:szCs w:val="20"/>
              </w:rPr>
            </w:pPr>
            <w:r w:rsidRPr="00352AA8">
              <w:rPr>
                <w:sz w:val="20"/>
                <w:szCs w:val="20"/>
              </w:rPr>
              <w:t>Prihodi od prodaje nefinancijske imovine</w:t>
            </w:r>
          </w:p>
        </w:tc>
        <w:tc>
          <w:tcPr>
            <w:tcW w:w="1658" w:type="dxa"/>
            <w:tcBorders>
              <w:top w:val="nil"/>
              <w:left w:val="single" w:sz="4" w:space="0" w:color="auto"/>
              <w:bottom w:val="nil"/>
              <w:right w:val="single" w:sz="4" w:space="0" w:color="333333"/>
            </w:tcBorders>
            <w:shd w:val="clear" w:color="auto" w:fill="auto"/>
            <w:noWrap/>
            <w:vAlign w:val="center"/>
            <w:hideMark/>
          </w:tcPr>
          <w:p w:rsidR="00641296" w:rsidRPr="00352AA8" w:rsidRDefault="00641296" w:rsidP="00BF25F0">
            <w:pPr>
              <w:spacing w:line="276" w:lineRule="auto"/>
              <w:jc w:val="right"/>
              <w:rPr>
                <w:color w:val="000000"/>
                <w:sz w:val="20"/>
                <w:szCs w:val="20"/>
              </w:rPr>
            </w:pPr>
            <w:r w:rsidRPr="00352AA8">
              <w:rPr>
                <w:color w:val="000000"/>
                <w:sz w:val="20"/>
                <w:szCs w:val="20"/>
              </w:rPr>
              <w:t>978.323.393</w:t>
            </w:r>
          </w:p>
        </w:tc>
        <w:tc>
          <w:tcPr>
            <w:tcW w:w="1724" w:type="dxa"/>
            <w:tcBorders>
              <w:top w:val="nil"/>
              <w:left w:val="nil"/>
              <w:bottom w:val="nil"/>
              <w:right w:val="nil"/>
            </w:tcBorders>
            <w:shd w:val="clear" w:color="auto" w:fill="auto"/>
            <w:noWrap/>
            <w:vAlign w:val="center"/>
            <w:hideMark/>
          </w:tcPr>
          <w:p w:rsidR="00641296" w:rsidRPr="00352AA8" w:rsidRDefault="00641296" w:rsidP="00BF25F0">
            <w:pPr>
              <w:spacing w:line="276" w:lineRule="auto"/>
              <w:jc w:val="right"/>
              <w:rPr>
                <w:color w:val="000000"/>
                <w:sz w:val="20"/>
                <w:szCs w:val="20"/>
              </w:rPr>
            </w:pPr>
            <w:r w:rsidRPr="00352AA8">
              <w:rPr>
                <w:color w:val="000000"/>
                <w:sz w:val="20"/>
                <w:szCs w:val="20"/>
              </w:rPr>
              <w:t>1.065.950.203</w:t>
            </w:r>
          </w:p>
        </w:tc>
        <w:tc>
          <w:tcPr>
            <w:tcW w:w="1296" w:type="dxa"/>
            <w:tcBorders>
              <w:top w:val="nil"/>
              <w:left w:val="single" w:sz="4" w:space="0" w:color="auto"/>
              <w:bottom w:val="nil"/>
              <w:right w:val="single" w:sz="4" w:space="0" w:color="auto"/>
            </w:tcBorders>
            <w:shd w:val="clear" w:color="auto" w:fill="auto"/>
            <w:noWrap/>
            <w:vAlign w:val="bottom"/>
            <w:hideMark/>
          </w:tcPr>
          <w:p w:rsidR="00641296" w:rsidRPr="00352AA8" w:rsidRDefault="00641296" w:rsidP="00BF25F0">
            <w:pPr>
              <w:spacing w:line="276" w:lineRule="auto"/>
              <w:jc w:val="center"/>
              <w:rPr>
                <w:sz w:val="20"/>
                <w:szCs w:val="20"/>
              </w:rPr>
            </w:pPr>
            <w:r w:rsidRPr="00352AA8">
              <w:rPr>
                <w:sz w:val="20"/>
                <w:szCs w:val="20"/>
              </w:rPr>
              <w:t>109,0</w:t>
            </w:r>
          </w:p>
        </w:tc>
      </w:tr>
      <w:tr w:rsidR="00641296" w:rsidRPr="00352AA8" w:rsidTr="00BF25F0">
        <w:trPr>
          <w:trHeight w:val="270"/>
        </w:trPr>
        <w:tc>
          <w:tcPr>
            <w:tcW w:w="4678" w:type="dxa"/>
            <w:tcBorders>
              <w:top w:val="nil"/>
              <w:left w:val="single" w:sz="4" w:space="0" w:color="auto"/>
              <w:bottom w:val="nil"/>
              <w:right w:val="single" w:sz="4" w:space="0" w:color="auto"/>
            </w:tcBorders>
            <w:shd w:val="clear" w:color="auto" w:fill="auto"/>
            <w:noWrap/>
            <w:vAlign w:val="center"/>
            <w:hideMark/>
          </w:tcPr>
          <w:p w:rsidR="00641296" w:rsidRPr="00352AA8" w:rsidRDefault="00641296" w:rsidP="00BF25F0">
            <w:pPr>
              <w:spacing w:line="276" w:lineRule="auto"/>
              <w:rPr>
                <w:sz w:val="20"/>
                <w:szCs w:val="20"/>
              </w:rPr>
            </w:pPr>
            <w:r w:rsidRPr="00352AA8">
              <w:rPr>
                <w:sz w:val="20"/>
                <w:szCs w:val="20"/>
              </w:rPr>
              <w:t>Ukupno prihodi</w:t>
            </w:r>
          </w:p>
        </w:tc>
        <w:tc>
          <w:tcPr>
            <w:tcW w:w="1658" w:type="dxa"/>
            <w:tcBorders>
              <w:top w:val="nil"/>
              <w:left w:val="single" w:sz="4" w:space="0" w:color="auto"/>
              <w:bottom w:val="nil"/>
              <w:right w:val="single" w:sz="4" w:space="0" w:color="333333"/>
            </w:tcBorders>
            <w:shd w:val="clear" w:color="auto" w:fill="auto"/>
            <w:noWrap/>
            <w:vAlign w:val="center"/>
            <w:hideMark/>
          </w:tcPr>
          <w:p w:rsidR="00641296" w:rsidRPr="00352AA8" w:rsidRDefault="00641296" w:rsidP="00BF25F0">
            <w:pPr>
              <w:spacing w:line="276" w:lineRule="auto"/>
              <w:jc w:val="right"/>
              <w:rPr>
                <w:color w:val="000000"/>
                <w:sz w:val="20"/>
                <w:szCs w:val="20"/>
              </w:rPr>
            </w:pPr>
            <w:r w:rsidRPr="00352AA8">
              <w:rPr>
                <w:color w:val="000000"/>
                <w:sz w:val="20"/>
                <w:szCs w:val="20"/>
              </w:rPr>
              <w:t>137.721.568.318</w:t>
            </w:r>
          </w:p>
        </w:tc>
        <w:tc>
          <w:tcPr>
            <w:tcW w:w="1724" w:type="dxa"/>
            <w:tcBorders>
              <w:top w:val="nil"/>
              <w:left w:val="nil"/>
              <w:bottom w:val="nil"/>
              <w:right w:val="single" w:sz="4" w:space="0" w:color="333333"/>
            </w:tcBorders>
            <w:shd w:val="clear" w:color="auto" w:fill="auto"/>
            <w:noWrap/>
            <w:vAlign w:val="center"/>
            <w:hideMark/>
          </w:tcPr>
          <w:p w:rsidR="00641296" w:rsidRPr="00352AA8" w:rsidRDefault="00641296" w:rsidP="00BF25F0">
            <w:pPr>
              <w:spacing w:line="276" w:lineRule="auto"/>
              <w:jc w:val="right"/>
              <w:rPr>
                <w:color w:val="000000"/>
                <w:sz w:val="20"/>
                <w:szCs w:val="20"/>
              </w:rPr>
            </w:pPr>
            <w:r w:rsidRPr="00352AA8">
              <w:rPr>
                <w:color w:val="000000"/>
                <w:sz w:val="20"/>
                <w:szCs w:val="20"/>
              </w:rPr>
              <w:t>139.919.657.567</w:t>
            </w:r>
          </w:p>
        </w:tc>
        <w:tc>
          <w:tcPr>
            <w:tcW w:w="1296" w:type="dxa"/>
            <w:tcBorders>
              <w:top w:val="nil"/>
              <w:left w:val="single" w:sz="4" w:space="0" w:color="auto"/>
              <w:bottom w:val="nil"/>
              <w:right w:val="single" w:sz="4" w:space="0" w:color="auto"/>
            </w:tcBorders>
            <w:shd w:val="clear" w:color="auto" w:fill="auto"/>
            <w:noWrap/>
            <w:vAlign w:val="bottom"/>
            <w:hideMark/>
          </w:tcPr>
          <w:p w:rsidR="00641296" w:rsidRPr="00352AA8" w:rsidRDefault="00641296" w:rsidP="00BF25F0">
            <w:pPr>
              <w:spacing w:line="276" w:lineRule="auto"/>
              <w:jc w:val="center"/>
              <w:rPr>
                <w:sz w:val="20"/>
                <w:szCs w:val="20"/>
              </w:rPr>
            </w:pPr>
            <w:r w:rsidRPr="00352AA8">
              <w:rPr>
                <w:sz w:val="20"/>
                <w:szCs w:val="20"/>
              </w:rPr>
              <w:t>101,6</w:t>
            </w:r>
          </w:p>
        </w:tc>
      </w:tr>
      <w:tr w:rsidR="00641296" w:rsidRPr="00352AA8" w:rsidTr="00BF25F0">
        <w:trPr>
          <w:trHeight w:val="270"/>
        </w:trPr>
        <w:tc>
          <w:tcPr>
            <w:tcW w:w="4678" w:type="dxa"/>
            <w:tcBorders>
              <w:top w:val="nil"/>
              <w:left w:val="single" w:sz="4" w:space="0" w:color="auto"/>
              <w:bottom w:val="nil"/>
              <w:right w:val="single" w:sz="4" w:space="0" w:color="auto"/>
            </w:tcBorders>
            <w:shd w:val="clear" w:color="auto" w:fill="auto"/>
            <w:noWrap/>
            <w:vAlign w:val="center"/>
            <w:hideMark/>
          </w:tcPr>
          <w:p w:rsidR="00641296" w:rsidRPr="00352AA8" w:rsidRDefault="00641296" w:rsidP="00BF25F0">
            <w:pPr>
              <w:spacing w:line="276" w:lineRule="auto"/>
              <w:rPr>
                <w:sz w:val="20"/>
                <w:szCs w:val="20"/>
              </w:rPr>
            </w:pPr>
            <w:r w:rsidRPr="00352AA8">
              <w:rPr>
                <w:sz w:val="20"/>
                <w:szCs w:val="20"/>
              </w:rPr>
              <w:t>Rashodi poslovanja</w:t>
            </w:r>
          </w:p>
        </w:tc>
        <w:tc>
          <w:tcPr>
            <w:tcW w:w="1658" w:type="dxa"/>
            <w:tcBorders>
              <w:top w:val="nil"/>
              <w:left w:val="single" w:sz="4" w:space="0" w:color="auto"/>
              <w:bottom w:val="nil"/>
              <w:right w:val="single" w:sz="4" w:space="0" w:color="333333"/>
            </w:tcBorders>
            <w:shd w:val="clear" w:color="auto" w:fill="auto"/>
            <w:noWrap/>
            <w:vAlign w:val="center"/>
            <w:hideMark/>
          </w:tcPr>
          <w:p w:rsidR="00641296" w:rsidRPr="00352AA8" w:rsidRDefault="00641296" w:rsidP="00BF25F0">
            <w:pPr>
              <w:spacing w:line="276" w:lineRule="auto"/>
              <w:jc w:val="right"/>
              <w:rPr>
                <w:color w:val="000000"/>
                <w:sz w:val="20"/>
                <w:szCs w:val="20"/>
              </w:rPr>
            </w:pPr>
            <w:r w:rsidRPr="00352AA8">
              <w:rPr>
                <w:color w:val="000000"/>
                <w:sz w:val="20"/>
                <w:szCs w:val="20"/>
              </w:rPr>
              <w:t>134.525.300.517</w:t>
            </w:r>
          </w:p>
        </w:tc>
        <w:tc>
          <w:tcPr>
            <w:tcW w:w="1724" w:type="dxa"/>
            <w:tcBorders>
              <w:top w:val="nil"/>
              <w:left w:val="nil"/>
              <w:bottom w:val="nil"/>
              <w:right w:val="nil"/>
            </w:tcBorders>
            <w:shd w:val="clear" w:color="auto" w:fill="auto"/>
            <w:noWrap/>
            <w:vAlign w:val="center"/>
            <w:hideMark/>
          </w:tcPr>
          <w:p w:rsidR="00641296" w:rsidRPr="00352AA8" w:rsidRDefault="00641296" w:rsidP="00BF25F0">
            <w:pPr>
              <w:spacing w:line="276" w:lineRule="auto"/>
              <w:jc w:val="right"/>
              <w:rPr>
                <w:color w:val="000000"/>
                <w:sz w:val="20"/>
                <w:szCs w:val="20"/>
              </w:rPr>
            </w:pPr>
            <w:r w:rsidRPr="00352AA8">
              <w:rPr>
                <w:color w:val="000000"/>
                <w:sz w:val="20"/>
                <w:szCs w:val="20"/>
              </w:rPr>
              <w:t>135.869.595.817</w:t>
            </w:r>
          </w:p>
        </w:tc>
        <w:tc>
          <w:tcPr>
            <w:tcW w:w="1296" w:type="dxa"/>
            <w:tcBorders>
              <w:top w:val="nil"/>
              <w:left w:val="single" w:sz="4" w:space="0" w:color="auto"/>
              <w:bottom w:val="nil"/>
              <w:right w:val="single" w:sz="4" w:space="0" w:color="auto"/>
            </w:tcBorders>
            <w:shd w:val="clear" w:color="auto" w:fill="auto"/>
            <w:noWrap/>
            <w:vAlign w:val="bottom"/>
            <w:hideMark/>
          </w:tcPr>
          <w:p w:rsidR="00641296" w:rsidRPr="00352AA8" w:rsidRDefault="00641296" w:rsidP="00BF25F0">
            <w:pPr>
              <w:spacing w:line="276" w:lineRule="auto"/>
              <w:jc w:val="center"/>
              <w:rPr>
                <w:sz w:val="20"/>
                <w:szCs w:val="20"/>
              </w:rPr>
            </w:pPr>
            <w:r w:rsidRPr="00352AA8">
              <w:rPr>
                <w:sz w:val="20"/>
                <w:szCs w:val="20"/>
              </w:rPr>
              <w:t>101,0</w:t>
            </w:r>
          </w:p>
        </w:tc>
      </w:tr>
      <w:tr w:rsidR="00641296" w:rsidRPr="00352AA8" w:rsidTr="00BF25F0">
        <w:trPr>
          <w:trHeight w:val="270"/>
        </w:trPr>
        <w:tc>
          <w:tcPr>
            <w:tcW w:w="4678" w:type="dxa"/>
            <w:tcBorders>
              <w:top w:val="nil"/>
              <w:left w:val="single" w:sz="4" w:space="0" w:color="auto"/>
              <w:bottom w:val="nil"/>
              <w:right w:val="single" w:sz="4" w:space="0" w:color="auto"/>
            </w:tcBorders>
            <w:shd w:val="clear" w:color="auto" w:fill="auto"/>
            <w:noWrap/>
            <w:vAlign w:val="center"/>
            <w:hideMark/>
          </w:tcPr>
          <w:p w:rsidR="00641296" w:rsidRPr="00352AA8" w:rsidRDefault="00641296" w:rsidP="00BF25F0">
            <w:pPr>
              <w:spacing w:line="276" w:lineRule="auto"/>
              <w:ind w:right="1112"/>
              <w:rPr>
                <w:sz w:val="20"/>
                <w:szCs w:val="20"/>
              </w:rPr>
            </w:pPr>
            <w:r w:rsidRPr="00352AA8">
              <w:rPr>
                <w:sz w:val="20"/>
                <w:szCs w:val="20"/>
              </w:rPr>
              <w:t xml:space="preserve">Rashodi za nabavu nefinancijske </w:t>
            </w:r>
            <w:r>
              <w:rPr>
                <w:sz w:val="20"/>
                <w:szCs w:val="20"/>
              </w:rPr>
              <w:t>imovine</w:t>
            </w:r>
          </w:p>
        </w:tc>
        <w:tc>
          <w:tcPr>
            <w:tcW w:w="1658" w:type="dxa"/>
            <w:tcBorders>
              <w:top w:val="nil"/>
              <w:left w:val="single" w:sz="4" w:space="0" w:color="auto"/>
              <w:bottom w:val="nil"/>
              <w:right w:val="single" w:sz="4" w:space="0" w:color="333333"/>
            </w:tcBorders>
            <w:shd w:val="clear" w:color="auto" w:fill="auto"/>
            <w:noWrap/>
            <w:vAlign w:val="center"/>
            <w:hideMark/>
          </w:tcPr>
          <w:p w:rsidR="00641296" w:rsidRPr="00352AA8" w:rsidRDefault="00641296" w:rsidP="00BF25F0">
            <w:pPr>
              <w:spacing w:line="276" w:lineRule="auto"/>
              <w:jc w:val="right"/>
              <w:rPr>
                <w:color w:val="000000"/>
                <w:sz w:val="20"/>
                <w:szCs w:val="20"/>
              </w:rPr>
            </w:pPr>
            <w:r w:rsidRPr="00352AA8">
              <w:rPr>
                <w:color w:val="000000"/>
                <w:sz w:val="20"/>
                <w:szCs w:val="20"/>
              </w:rPr>
              <w:t>4.460.813.109</w:t>
            </w:r>
          </w:p>
        </w:tc>
        <w:tc>
          <w:tcPr>
            <w:tcW w:w="1724" w:type="dxa"/>
            <w:tcBorders>
              <w:top w:val="nil"/>
              <w:left w:val="nil"/>
              <w:bottom w:val="nil"/>
              <w:right w:val="nil"/>
            </w:tcBorders>
            <w:shd w:val="clear" w:color="auto" w:fill="auto"/>
            <w:noWrap/>
            <w:vAlign w:val="center"/>
            <w:hideMark/>
          </w:tcPr>
          <w:p w:rsidR="00641296" w:rsidRPr="00352AA8" w:rsidRDefault="00641296" w:rsidP="00BF25F0">
            <w:pPr>
              <w:spacing w:line="276" w:lineRule="auto"/>
              <w:jc w:val="right"/>
              <w:rPr>
                <w:color w:val="000000"/>
                <w:sz w:val="20"/>
                <w:szCs w:val="20"/>
              </w:rPr>
            </w:pPr>
            <w:r w:rsidRPr="00352AA8">
              <w:rPr>
                <w:color w:val="000000"/>
                <w:sz w:val="20"/>
                <w:szCs w:val="20"/>
              </w:rPr>
              <w:t>4.000.468.047</w:t>
            </w:r>
          </w:p>
        </w:tc>
        <w:tc>
          <w:tcPr>
            <w:tcW w:w="1296" w:type="dxa"/>
            <w:tcBorders>
              <w:top w:val="nil"/>
              <w:left w:val="single" w:sz="4" w:space="0" w:color="auto"/>
              <w:bottom w:val="nil"/>
              <w:right w:val="single" w:sz="4" w:space="0" w:color="auto"/>
            </w:tcBorders>
            <w:shd w:val="clear" w:color="auto" w:fill="auto"/>
            <w:noWrap/>
            <w:vAlign w:val="bottom"/>
            <w:hideMark/>
          </w:tcPr>
          <w:p w:rsidR="00641296" w:rsidRPr="00352AA8" w:rsidRDefault="00641296" w:rsidP="00BF25F0">
            <w:pPr>
              <w:spacing w:line="276" w:lineRule="auto"/>
              <w:jc w:val="center"/>
              <w:rPr>
                <w:sz w:val="20"/>
                <w:szCs w:val="20"/>
              </w:rPr>
            </w:pPr>
            <w:r w:rsidRPr="00352AA8">
              <w:rPr>
                <w:sz w:val="20"/>
                <w:szCs w:val="20"/>
              </w:rPr>
              <w:t>89,7</w:t>
            </w:r>
          </w:p>
        </w:tc>
      </w:tr>
      <w:tr w:rsidR="00641296" w:rsidRPr="00352AA8" w:rsidTr="00BF25F0">
        <w:trPr>
          <w:trHeight w:val="270"/>
        </w:trPr>
        <w:tc>
          <w:tcPr>
            <w:tcW w:w="4678" w:type="dxa"/>
            <w:tcBorders>
              <w:top w:val="nil"/>
              <w:left w:val="single" w:sz="4" w:space="0" w:color="auto"/>
              <w:bottom w:val="nil"/>
              <w:right w:val="single" w:sz="4" w:space="0" w:color="auto"/>
            </w:tcBorders>
            <w:shd w:val="clear" w:color="auto" w:fill="auto"/>
            <w:noWrap/>
            <w:vAlign w:val="center"/>
            <w:hideMark/>
          </w:tcPr>
          <w:p w:rsidR="00641296" w:rsidRPr="00352AA8" w:rsidRDefault="00641296" w:rsidP="00BF25F0">
            <w:pPr>
              <w:spacing w:line="276" w:lineRule="auto"/>
              <w:rPr>
                <w:sz w:val="20"/>
                <w:szCs w:val="20"/>
              </w:rPr>
            </w:pPr>
            <w:r w:rsidRPr="00352AA8">
              <w:rPr>
                <w:sz w:val="20"/>
                <w:szCs w:val="20"/>
              </w:rPr>
              <w:t>Ukupno rashodi</w:t>
            </w:r>
          </w:p>
        </w:tc>
        <w:tc>
          <w:tcPr>
            <w:tcW w:w="1658" w:type="dxa"/>
            <w:tcBorders>
              <w:top w:val="nil"/>
              <w:left w:val="single" w:sz="4" w:space="0" w:color="auto"/>
              <w:bottom w:val="nil"/>
              <w:right w:val="single" w:sz="4" w:space="0" w:color="333333"/>
            </w:tcBorders>
            <w:shd w:val="clear" w:color="auto" w:fill="auto"/>
            <w:noWrap/>
            <w:vAlign w:val="center"/>
            <w:hideMark/>
          </w:tcPr>
          <w:p w:rsidR="00641296" w:rsidRPr="00352AA8" w:rsidRDefault="00641296" w:rsidP="00BF25F0">
            <w:pPr>
              <w:spacing w:line="276" w:lineRule="auto"/>
              <w:jc w:val="right"/>
              <w:rPr>
                <w:color w:val="000000"/>
                <w:sz w:val="20"/>
                <w:szCs w:val="20"/>
              </w:rPr>
            </w:pPr>
            <w:r w:rsidRPr="00352AA8">
              <w:rPr>
                <w:color w:val="000000"/>
                <w:sz w:val="20"/>
                <w:szCs w:val="20"/>
              </w:rPr>
              <w:t>138.986.113.626</w:t>
            </w:r>
          </w:p>
        </w:tc>
        <w:tc>
          <w:tcPr>
            <w:tcW w:w="1724" w:type="dxa"/>
            <w:tcBorders>
              <w:top w:val="nil"/>
              <w:left w:val="nil"/>
              <w:bottom w:val="nil"/>
              <w:right w:val="single" w:sz="4" w:space="0" w:color="333333"/>
            </w:tcBorders>
            <w:shd w:val="clear" w:color="auto" w:fill="auto"/>
            <w:noWrap/>
            <w:vAlign w:val="center"/>
            <w:hideMark/>
          </w:tcPr>
          <w:p w:rsidR="00641296" w:rsidRPr="00352AA8" w:rsidRDefault="00641296" w:rsidP="00BF25F0">
            <w:pPr>
              <w:spacing w:line="276" w:lineRule="auto"/>
              <w:jc w:val="right"/>
              <w:rPr>
                <w:color w:val="000000"/>
                <w:sz w:val="20"/>
                <w:szCs w:val="20"/>
              </w:rPr>
            </w:pPr>
            <w:r w:rsidRPr="00352AA8">
              <w:rPr>
                <w:color w:val="000000"/>
                <w:sz w:val="20"/>
                <w:szCs w:val="20"/>
              </w:rPr>
              <w:t>139.870.063.864</w:t>
            </w:r>
          </w:p>
        </w:tc>
        <w:tc>
          <w:tcPr>
            <w:tcW w:w="1296" w:type="dxa"/>
            <w:tcBorders>
              <w:top w:val="nil"/>
              <w:left w:val="single" w:sz="4" w:space="0" w:color="auto"/>
              <w:bottom w:val="nil"/>
              <w:right w:val="single" w:sz="4" w:space="0" w:color="auto"/>
            </w:tcBorders>
            <w:shd w:val="clear" w:color="auto" w:fill="auto"/>
            <w:noWrap/>
            <w:vAlign w:val="bottom"/>
            <w:hideMark/>
          </w:tcPr>
          <w:p w:rsidR="00641296" w:rsidRPr="00352AA8" w:rsidRDefault="00641296" w:rsidP="00BF25F0">
            <w:pPr>
              <w:spacing w:line="276" w:lineRule="auto"/>
              <w:jc w:val="center"/>
              <w:rPr>
                <w:sz w:val="20"/>
                <w:szCs w:val="20"/>
              </w:rPr>
            </w:pPr>
            <w:r w:rsidRPr="00352AA8">
              <w:rPr>
                <w:sz w:val="20"/>
                <w:szCs w:val="20"/>
              </w:rPr>
              <w:t>100,6</w:t>
            </w:r>
          </w:p>
        </w:tc>
      </w:tr>
      <w:tr w:rsidR="00641296" w:rsidRPr="00352AA8" w:rsidTr="00BF25F0">
        <w:trPr>
          <w:trHeight w:val="270"/>
        </w:trPr>
        <w:tc>
          <w:tcPr>
            <w:tcW w:w="467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641296" w:rsidRPr="00352AA8" w:rsidRDefault="00641296" w:rsidP="00BF25F0">
            <w:pPr>
              <w:spacing w:line="276" w:lineRule="auto"/>
              <w:rPr>
                <w:b/>
                <w:bCs/>
                <w:sz w:val="20"/>
                <w:szCs w:val="20"/>
              </w:rPr>
            </w:pPr>
            <w:r w:rsidRPr="00352AA8">
              <w:rPr>
                <w:b/>
                <w:bCs/>
                <w:sz w:val="20"/>
                <w:szCs w:val="20"/>
              </w:rPr>
              <w:t>Razlika - višak/manjak</w:t>
            </w:r>
          </w:p>
        </w:tc>
        <w:tc>
          <w:tcPr>
            <w:tcW w:w="1658" w:type="dxa"/>
            <w:tcBorders>
              <w:top w:val="single" w:sz="4" w:space="0" w:color="auto"/>
              <w:left w:val="single" w:sz="4" w:space="0" w:color="auto"/>
              <w:bottom w:val="single" w:sz="4" w:space="0" w:color="auto"/>
              <w:right w:val="single" w:sz="4" w:space="0" w:color="333333"/>
            </w:tcBorders>
            <w:shd w:val="clear" w:color="000000" w:fill="C5D9F1"/>
            <w:noWrap/>
            <w:vAlign w:val="bottom"/>
            <w:hideMark/>
          </w:tcPr>
          <w:p w:rsidR="00641296" w:rsidRPr="00352AA8" w:rsidRDefault="00641296" w:rsidP="00BF25F0">
            <w:pPr>
              <w:spacing w:line="276" w:lineRule="auto"/>
              <w:jc w:val="right"/>
              <w:rPr>
                <w:b/>
                <w:bCs/>
                <w:sz w:val="20"/>
                <w:szCs w:val="20"/>
              </w:rPr>
            </w:pPr>
            <w:r w:rsidRPr="00352AA8">
              <w:rPr>
                <w:b/>
                <w:bCs/>
                <w:sz w:val="20"/>
                <w:szCs w:val="20"/>
              </w:rPr>
              <w:t>-1.264.545.308</w:t>
            </w:r>
          </w:p>
        </w:tc>
        <w:tc>
          <w:tcPr>
            <w:tcW w:w="1724" w:type="dxa"/>
            <w:tcBorders>
              <w:top w:val="single" w:sz="4" w:space="0" w:color="auto"/>
              <w:left w:val="nil"/>
              <w:bottom w:val="single" w:sz="4" w:space="0" w:color="auto"/>
              <w:right w:val="single" w:sz="4" w:space="0" w:color="333333"/>
            </w:tcBorders>
            <w:shd w:val="clear" w:color="000000" w:fill="C5D9F1"/>
            <w:noWrap/>
            <w:vAlign w:val="bottom"/>
            <w:hideMark/>
          </w:tcPr>
          <w:p w:rsidR="00641296" w:rsidRPr="00352AA8" w:rsidRDefault="00641296" w:rsidP="00BF25F0">
            <w:pPr>
              <w:spacing w:line="276" w:lineRule="auto"/>
              <w:jc w:val="right"/>
              <w:rPr>
                <w:b/>
                <w:bCs/>
                <w:sz w:val="20"/>
                <w:szCs w:val="20"/>
              </w:rPr>
            </w:pPr>
            <w:r w:rsidRPr="00352AA8">
              <w:rPr>
                <w:b/>
                <w:bCs/>
                <w:sz w:val="20"/>
                <w:szCs w:val="20"/>
              </w:rPr>
              <w:t>49.593.703</w:t>
            </w:r>
          </w:p>
        </w:tc>
        <w:tc>
          <w:tcPr>
            <w:tcW w:w="1296" w:type="dxa"/>
            <w:tcBorders>
              <w:top w:val="single" w:sz="4" w:space="0" w:color="auto"/>
              <w:left w:val="nil"/>
              <w:bottom w:val="single" w:sz="4" w:space="0" w:color="auto"/>
              <w:right w:val="single" w:sz="4" w:space="0" w:color="333333"/>
            </w:tcBorders>
            <w:shd w:val="clear" w:color="000000" w:fill="C5D9F1"/>
            <w:noWrap/>
            <w:vAlign w:val="bottom"/>
            <w:hideMark/>
          </w:tcPr>
          <w:p w:rsidR="00641296" w:rsidRPr="00352AA8" w:rsidRDefault="00641296" w:rsidP="00BF25F0">
            <w:pPr>
              <w:spacing w:line="276" w:lineRule="auto"/>
              <w:jc w:val="center"/>
              <w:rPr>
                <w:b/>
                <w:bCs/>
                <w:sz w:val="20"/>
                <w:szCs w:val="20"/>
              </w:rPr>
            </w:pPr>
          </w:p>
        </w:tc>
      </w:tr>
    </w:tbl>
    <w:p w:rsidR="00641296" w:rsidRPr="00DD5305" w:rsidRDefault="00641296" w:rsidP="00641296">
      <w:pPr>
        <w:spacing w:line="276" w:lineRule="auto"/>
        <w:rPr>
          <w:sz w:val="18"/>
          <w:szCs w:val="18"/>
        </w:rPr>
      </w:pPr>
    </w:p>
    <w:p w:rsidR="00641296" w:rsidRDefault="00641296" w:rsidP="00641296">
      <w:pPr>
        <w:spacing w:line="276" w:lineRule="auto"/>
        <w:rPr>
          <w:b/>
          <w:bCs/>
          <w:color w:val="00B050"/>
        </w:rPr>
      </w:pPr>
      <w:r w:rsidRPr="00364A62">
        <w:rPr>
          <w:b/>
          <w:bCs/>
        </w:rPr>
        <w:t>B. Račun financiranja</w:t>
      </w:r>
    </w:p>
    <w:tbl>
      <w:tblPr>
        <w:tblW w:w="9318" w:type="dxa"/>
        <w:tblInd w:w="113" w:type="dxa"/>
        <w:tblLook w:val="04A0" w:firstRow="1" w:lastRow="0" w:firstColumn="1" w:lastColumn="0" w:noHBand="0" w:noVBand="1"/>
      </w:tblPr>
      <w:tblGrid>
        <w:gridCol w:w="4673"/>
        <w:gridCol w:w="1701"/>
        <w:gridCol w:w="1701"/>
        <w:gridCol w:w="1243"/>
      </w:tblGrid>
      <w:tr w:rsidR="00641296" w:rsidRPr="00364A62" w:rsidTr="00BF25F0">
        <w:trPr>
          <w:trHeight w:val="743"/>
        </w:trPr>
        <w:tc>
          <w:tcPr>
            <w:tcW w:w="4673" w:type="dxa"/>
            <w:tcBorders>
              <w:top w:val="single" w:sz="4" w:space="0" w:color="333333"/>
              <w:left w:val="single" w:sz="4" w:space="0" w:color="333333"/>
              <w:bottom w:val="nil"/>
              <w:right w:val="single" w:sz="4" w:space="0" w:color="333333"/>
            </w:tcBorders>
            <w:shd w:val="clear" w:color="000000" w:fill="C5D9F1"/>
            <w:noWrap/>
            <w:vAlign w:val="bottom"/>
            <w:hideMark/>
          </w:tcPr>
          <w:p w:rsidR="00641296" w:rsidRPr="00364A62" w:rsidRDefault="00641296" w:rsidP="00BF25F0">
            <w:pPr>
              <w:spacing w:line="276" w:lineRule="auto"/>
              <w:jc w:val="center"/>
              <w:rPr>
                <w:sz w:val="20"/>
                <w:szCs w:val="20"/>
              </w:rPr>
            </w:pPr>
            <w:r w:rsidRPr="00364A62">
              <w:rPr>
                <w:sz w:val="20"/>
                <w:szCs w:val="20"/>
              </w:rPr>
              <w:t>(u kunama)</w:t>
            </w:r>
          </w:p>
        </w:tc>
        <w:tc>
          <w:tcPr>
            <w:tcW w:w="1701"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641296" w:rsidRPr="00364A62" w:rsidRDefault="00641296" w:rsidP="00BF25F0">
            <w:pPr>
              <w:spacing w:line="276" w:lineRule="auto"/>
              <w:jc w:val="center"/>
              <w:rPr>
                <w:b/>
                <w:bCs/>
                <w:sz w:val="20"/>
                <w:szCs w:val="20"/>
              </w:rPr>
            </w:pPr>
            <w:r w:rsidRPr="00364A62">
              <w:rPr>
                <w:b/>
                <w:bCs/>
                <w:sz w:val="20"/>
                <w:szCs w:val="20"/>
              </w:rPr>
              <w:t>Plan</w:t>
            </w:r>
            <w:r w:rsidRPr="00364A62">
              <w:rPr>
                <w:b/>
                <w:bCs/>
                <w:sz w:val="20"/>
                <w:szCs w:val="20"/>
              </w:rPr>
              <w:br/>
              <w:t>2019.</w:t>
            </w:r>
          </w:p>
        </w:tc>
        <w:tc>
          <w:tcPr>
            <w:tcW w:w="1701" w:type="dxa"/>
            <w:tcBorders>
              <w:top w:val="single" w:sz="4" w:space="0" w:color="auto"/>
              <w:left w:val="nil"/>
              <w:bottom w:val="single" w:sz="4" w:space="0" w:color="auto"/>
              <w:right w:val="single" w:sz="4" w:space="0" w:color="auto"/>
            </w:tcBorders>
            <w:shd w:val="clear" w:color="000000" w:fill="C5D9F1"/>
            <w:vAlign w:val="center"/>
            <w:hideMark/>
          </w:tcPr>
          <w:p w:rsidR="00641296" w:rsidRPr="00364A62" w:rsidRDefault="00641296" w:rsidP="00BF25F0">
            <w:pPr>
              <w:spacing w:line="276" w:lineRule="auto"/>
              <w:jc w:val="center"/>
              <w:rPr>
                <w:b/>
                <w:bCs/>
                <w:sz w:val="20"/>
                <w:szCs w:val="20"/>
              </w:rPr>
            </w:pPr>
            <w:r w:rsidRPr="00364A62">
              <w:rPr>
                <w:b/>
                <w:bCs/>
                <w:sz w:val="20"/>
                <w:szCs w:val="20"/>
              </w:rPr>
              <w:t>Izvršenje</w:t>
            </w:r>
            <w:r w:rsidRPr="00364A62">
              <w:rPr>
                <w:b/>
                <w:bCs/>
                <w:sz w:val="20"/>
                <w:szCs w:val="20"/>
              </w:rPr>
              <w:br/>
              <w:t>2019.</w:t>
            </w:r>
          </w:p>
        </w:tc>
        <w:tc>
          <w:tcPr>
            <w:tcW w:w="1243" w:type="dxa"/>
            <w:tcBorders>
              <w:top w:val="single" w:sz="4" w:space="0" w:color="auto"/>
              <w:left w:val="nil"/>
              <w:bottom w:val="single" w:sz="4" w:space="0" w:color="auto"/>
              <w:right w:val="single" w:sz="4" w:space="0" w:color="auto"/>
            </w:tcBorders>
            <w:shd w:val="clear" w:color="000000" w:fill="C5D9F1"/>
            <w:vAlign w:val="center"/>
            <w:hideMark/>
          </w:tcPr>
          <w:p w:rsidR="00641296" w:rsidRPr="00364A62" w:rsidRDefault="00641296" w:rsidP="00BF25F0">
            <w:pPr>
              <w:spacing w:line="276" w:lineRule="auto"/>
              <w:jc w:val="center"/>
              <w:rPr>
                <w:b/>
                <w:bCs/>
                <w:sz w:val="20"/>
                <w:szCs w:val="20"/>
              </w:rPr>
            </w:pPr>
            <w:r w:rsidRPr="00364A62">
              <w:rPr>
                <w:b/>
                <w:bCs/>
                <w:sz w:val="20"/>
                <w:szCs w:val="20"/>
              </w:rPr>
              <w:t>Indeks</w:t>
            </w:r>
            <w:r w:rsidRPr="00364A62">
              <w:rPr>
                <w:b/>
                <w:bCs/>
                <w:sz w:val="20"/>
                <w:szCs w:val="20"/>
              </w:rPr>
              <w:br/>
              <w:t>Izvršenje 2019./Plan 2019.</w:t>
            </w:r>
          </w:p>
        </w:tc>
      </w:tr>
      <w:tr w:rsidR="00641296" w:rsidRPr="00364A62" w:rsidTr="00BF25F0">
        <w:trPr>
          <w:trHeight w:val="272"/>
        </w:trPr>
        <w:tc>
          <w:tcPr>
            <w:tcW w:w="4673" w:type="dxa"/>
            <w:tcBorders>
              <w:top w:val="nil"/>
              <w:left w:val="single" w:sz="4" w:space="0" w:color="auto"/>
              <w:bottom w:val="single" w:sz="4" w:space="0" w:color="333333"/>
              <w:right w:val="single" w:sz="4" w:space="0" w:color="333333"/>
            </w:tcBorders>
            <w:shd w:val="clear" w:color="000000" w:fill="C5D9F1"/>
            <w:noWrap/>
            <w:vAlign w:val="bottom"/>
            <w:hideMark/>
          </w:tcPr>
          <w:p w:rsidR="00641296" w:rsidRPr="00364A62" w:rsidRDefault="00641296" w:rsidP="00BF25F0">
            <w:pPr>
              <w:spacing w:line="276" w:lineRule="auto"/>
              <w:rPr>
                <w:sz w:val="20"/>
                <w:szCs w:val="20"/>
              </w:rPr>
            </w:pPr>
            <w:r w:rsidRPr="00364A62">
              <w:rPr>
                <w:sz w:val="20"/>
                <w:szCs w:val="20"/>
              </w:rPr>
              <w:t> </w:t>
            </w:r>
          </w:p>
        </w:tc>
        <w:tc>
          <w:tcPr>
            <w:tcW w:w="1701" w:type="dxa"/>
            <w:tcBorders>
              <w:top w:val="nil"/>
              <w:left w:val="single" w:sz="4" w:space="0" w:color="auto"/>
              <w:bottom w:val="single" w:sz="4" w:space="0" w:color="auto"/>
              <w:right w:val="single" w:sz="4" w:space="0" w:color="auto"/>
            </w:tcBorders>
            <w:shd w:val="clear" w:color="000000" w:fill="C5D9F1"/>
            <w:noWrap/>
            <w:vAlign w:val="center"/>
            <w:hideMark/>
          </w:tcPr>
          <w:p w:rsidR="00641296" w:rsidRPr="00364A62" w:rsidRDefault="00641296" w:rsidP="00BF25F0">
            <w:pPr>
              <w:spacing w:line="276" w:lineRule="auto"/>
              <w:jc w:val="center"/>
              <w:rPr>
                <w:b/>
                <w:bCs/>
                <w:sz w:val="20"/>
                <w:szCs w:val="20"/>
              </w:rPr>
            </w:pPr>
            <w:r w:rsidRPr="00364A62">
              <w:rPr>
                <w:b/>
                <w:bCs/>
                <w:sz w:val="20"/>
                <w:szCs w:val="20"/>
              </w:rPr>
              <w:t>1</w:t>
            </w:r>
          </w:p>
        </w:tc>
        <w:tc>
          <w:tcPr>
            <w:tcW w:w="1701" w:type="dxa"/>
            <w:tcBorders>
              <w:top w:val="nil"/>
              <w:left w:val="nil"/>
              <w:bottom w:val="single" w:sz="4" w:space="0" w:color="auto"/>
              <w:right w:val="single" w:sz="4" w:space="0" w:color="auto"/>
            </w:tcBorders>
            <w:shd w:val="clear" w:color="000000" w:fill="C5D9F1"/>
            <w:noWrap/>
            <w:vAlign w:val="center"/>
            <w:hideMark/>
          </w:tcPr>
          <w:p w:rsidR="00641296" w:rsidRPr="00364A62" w:rsidRDefault="00641296" w:rsidP="00BF25F0">
            <w:pPr>
              <w:spacing w:line="276" w:lineRule="auto"/>
              <w:jc w:val="center"/>
              <w:rPr>
                <w:b/>
                <w:bCs/>
                <w:sz w:val="20"/>
                <w:szCs w:val="20"/>
              </w:rPr>
            </w:pPr>
            <w:r w:rsidRPr="00364A62">
              <w:rPr>
                <w:b/>
                <w:bCs/>
                <w:sz w:val="20"/>
                <w:szCs w:val="20"/>
              </w:rPr>
              <w:t>2</w:t>
            </w:r>
          </w:p>
        </w:tc>
        <w:tc>
          <w:tcPr>
            <w:tcW w:w="1243" w:type="dxa"/>
            <w:tcBorders>
              <w:top w:val="nil"/>
              <w:left w:val="nil"/>
              <w:bottom w:val="single" w:sz="4" w:space="0" w:color="auto"/>
              <w:right w:val="single" w:sz="4" w:space="0" w:color="auto"/>
            </w:tcBorders>
            <w:shd w:val="clear" w:color="000000" w:fill="C5D9F1"/>
            <w:noWrap/>
            <w:vAlign w:val="center"/>
            <w:hideMark/>
          </w:tcPr>
          <w:p w:rsidR="00641296" w:rsidRPr="00364A62" w:rsidRDefault="00641296" w:rsidP="00BF25F0">
            <w:pPr>
              <w:spacing w:line="276" w:lineRule="auto"/>
              <w:jc w:val="center"/>
              <w:rPr>
                <w:b/>
                <w:bCs/>
                <w:sz w:val="20"/>
                <w:szCs w:val="20"/>
              </w:rPr>
            </w:pPr>
            <w:r w:rsidRPr="00364A62">
              <w:rPr>
                <w:b/>
                <w:bCs/>
                <w:sz w:val="20"/>
                <w:szCs w:val="20"/>
              </w:rPr>
              <w:t>3=2/1</w:t>
            </w:r>
          </w:p>
        </w:tc>
      </w:tr>
      <w:tr w:rsidR="00641296" w:rsidRPr="00364A62" w:rsidTr="00BF25F0">
        <w:trPr>
          <w:trHeight w:val="272"/>
        </w:trPr>
        <w:tc>
          <w:tcPr>
            <w:tcW w:w="4673" w:type="dxa"/>
            <w:tcBorders>
              <w:top w:val="nil"/>
              <w:left w:val="single" w:sz="4" w:space="0" w:color="auto"/>
              <w:bottom w:val="nil"/>
              <w:right w:val="nil"/>
            </w:tcBorders>
            <w:shd w:val="clear" w:color="auto" w:fill="auto"/>
            <w:noWrap/>
            <w:vAlign w:val="center"/>
            <w:hideMark/>
          </w:tcPr>
          <w:p w:rsidR="00641296" w:rsidRPr="00364A62" w:rsidRDefault="00641296" w:rsidP="00BF25F0">
            <w:pPr>
              <w:spacing w:line="276" w:lineRule="auto"/>
              <w:rPr>
                <w:sz w:val="20"/>
                <w:szCs w:val="20"/>
              </w:rPr>
            </w:pPr>
            <w:r w:rsidRPr="00364A62">
              <w:rPr>
                <w:sz w:val="20"/>
                <w:szCs w:val="20"/>
              </w:rPr>
              <w:t>Primici od financijske imovine i zaduživanja</w:t>
            </w:r>
          </w:p>
        </w:tc>
        <w:tc>
          <w:tcPr>
            <w:tcW w:w="1701" w:type="dxa"/>
            <w:tcBorders>
              <w:top w:val="nil"/>
              <w:left w:val="single" w:sz="4" w:space="0" w:color="auto"/>
              <w:bottom w:val="nil"/>
              <w:right w:val="single" w:sz="4" w:space="0" w:color="auto"/>
            </w:tcBorders>
            <w:shd w:val="clear" w:color="auto" w:fill="auto"/>
            <w:noWrap/>
            <w:vAlign w:val="center"/>
            <w:hideMark/>
          </w:tcPr>
          <w:p w:rsidR="00641296" w:rsidRPr="00364A62" w:rsidRDefault="00641296" w:rsidP="00BF25F0">
            <w:pPr>
              <w:spacing w:line="276" w:lineRule="auto"/>
              <w:jc w:val="right"/>
              <w:rPr>
                <w:color w:val="000000"/>
                <w:sz w:val="20"/>
                <w:szCs w:val="20"/>
              </w:rPr>
            </w:pPr>
            <w:r w:rsidRPr="00364A62">
              <w:rPr>
                <w:color w:val="000000"/>
                <w:sz w:val="20"/>
                <w:szCs w:val="20"/>
              </w:rPr>
              <w:t>36.499.299.312</w:t>
            </w:r>
          </w:p>
        </w:tc>
        <w:tc>
          <w:tcPr>
            <w:tcW w:w="1701" w:type="dxa"/>
            <w:tcBorders>
              <w:top w:val="nil"/>
              <w:left w:val="nil"/>
              <w:bottom w:val="nil"/>
              <w:right w:val="single" w:sz="4" w:space="0" w:color="auto"/>
            </w:tcBorders>
            <w:shd w:val="clear" w:color="auto" w:fill="auto"/>
            <w:noWrap/>
            <w:vAlign w:val="center"/>
            <w:hideMark/>
          </w:tcPr>
          <w:p w:rsidR="00641296" w:rsidRPr="00364A62" w:rsidRDefault="00641296" w:rsidP="00BF25F0">
            <w:pPr>
              <w:spacing w:line="276" w:lineRule="auto"/>
              <w:jc w:val="right"/>
              <w:rPr>
                <w:color w:val="000000"/>
                <w:sz w:val="20"/>
                <w:szCs w:val="20"/>
              </w:rPr>
            </w:pPr>
            <w:r w:rsidRPr="00364A62">
              <w:rPr>
                <w:color w:val="000000"/>
                <w:sz w:val="20"/>
                <w:szCs w:val="20"/>
              </w:rPr>
              <w:t>35.446.845.392</w:t>
            </w:r>
          </w:p>
        </w:tc>
        <w:tc>
          <w:tcPr>
            <w:tcW w:w="1243" w:type="dxa"/>
            <w:tcBorders>
              <w:top w:val="nil"/>
              <w:left w:val="nil"/>
              <w:bottom w:val="nil"/>
              <w:right w:val="single" w:sz="4" w:space="0" w:color="auto"/>
            </w:tcBorders>
            <w:shd w:val="clear" w:color="auto" w:fill="auto"/>
            <w:noWrap/>
            <w:vAlign w:val="bottom"/>
            <w:hideMark/>
          </w:tcPr>
          <w:p w:rsidR="00641296" w:rsidRPr="00364A62" w:rsidRDefault="00641296" w:rsidP="00BF25F0">
            <w:pPr>
              <w:spacing w:line="276" w:lineRule="auto"/>
              <w:jc w:val="center"/>
              <w:rPr>
                <w:sz w:val="20"/>
                <w:szCs w:val="20"/>
              </w:rPr>
            </w:pPr>
            <w:r w:rsidRPr="00364A62">
              <w:rPr>
                <w:sz w:val="20"/>
                <w:szCs w:val="20"/>
              </w:rPr>
              <w:t>97,1</w:t>
            </w:r>
          </w:p>
        </w:tc>
      </w:tr>
      <w:tr w:rsidR="00641296" w:rsidRPr="00364A62" w:rsidTr="00BF25F0">
        <w:trPr>
          <w:trHeight w:val="278"/>
        </w:trPr>
        <w:tc>
          <w:tcPr>
            <w:tcW w:w="4673" w:type="dxa"/>
            <w:tcBorders>
              <w:top w:val="nil"/>
              <w:left w:val="single" w:sz="4" w:space="0" w:color="auto"/>
              <w:bottom w:val="nil"/>
              <w:right w:val="nil"/>
            </w:tcBorders>
            <w:shd w:val="clear" w:color="auto" w:fill="auto"/>
            <w:noWrap/>
            <w:vAlign w:val="center"/>
            <w:hideMark/>
          </w:tcPr>
          <w:p w:rsidR="00641296" w:rsidRPr="00364A62" w:rsidRDefault="00641296" w:rsidP="00BF25F0">
            <w:pPr>
              <w:spacing w:line="276" w:lineRule="auto"/>
              <w:rPr>
                <w:sz w:val="20"/>
                <w:szCs w:val="20"/>
              </w:rPr>
            </w:pPr>
            <w:r w:rsidRPr="00364A62">
              <w:rPr>
                <w:sz w:val="20"/>
                <w:szCs w:val="20"/>
              </w:rPr>
              <w:t>Izdaci za financijsku imovinu i otplate zajmova</w:t>
            </w:r>
          </w:p>
        </w:tc>
        <w:tc>
          <w:tcPr>
            <w:tcW w:w="1701" w:type="dxa"/>
            <w:tcBorders>
              <w:top w:val="nil"/>
              <w:left w:val="single" w:sz="4" w:space="0" w:color="auto"/>
              <w:bottom w:val="nil"/>
              <w:right w:val="single" w:sz="4" w:space="0" w:color="auto"/>
            </w:tcBorders>
            <w:shd w:val="clear" w:color="auto" w:fill="auto"/>
            <w:noWrap/>
            <w:vAlign w:val="center"/>
            <w:hideMark/>
          </w:tcPr>
          <w:p w:rsidR="00641296" w:rsidRPr="00364A62" w:rsidRDefault="00641296" w:rsidP="00BF25F0">
            <w:pPr>
              <w:spacing w:line="276" w:lineRule="auto"/>
              <w:jc w:val="right"/>
              <w:rPr>
                <w:color w:val="000000"/>
                <w:sz w:val="20"/>
                <w:szCs w:val="20"/>
              </w:rPr>
            </w:pPr>
            <w:r w:rsidRPr="00364A62">
              <w:rPr>
                <w:color w:val="000000"/>
                <w:sz w:val="20"/>
                <w:szCs w:val="20"/>
              </w:rPr>
              <w:t>32.882.122.680</w:t>
            </w:r>
          </w:p>
        </w:tc>
        <w:tc>
          <w:tcPr>
            <w:tcW w:w="1701" w:type="dxa"/>
            <w:tcBorders>
              <w:top w:val="nil"/>
              <w:left w:val="nil"/>
              <w:bottom w:val="nil"/>
              <w:right w:val="single" w:sz="4" w:space="0" w:color="auto"/>
            </w:tcBorders>
            <w:shd w:val="clear" w:color="auto" w:fill="auto"/>
            <w:noWrap/>
            <w:vAlign w:val="center"/>
            <w:hideMark/>
          </w:tcPr>
          <w:p w:rsidR="00641296" w:rsidRPr="00364A62" w:rsidRDefault="00641296" w:rsidP="00BF25F0">
            <w:pPr>
              <w:spacing w:line="276" w:lineRule="auto"/>
              <w:jc w:val="right"/>
              <w:rPr>
                <w:color w:val="000000"/>
                <w:sz w:val="20"/>
                <w:szCs w:val="20"/>
              </w:rPr>
            </w:pPr>
            <w:r w:rsidRPr="00364A62">
              <w:rPr>
                <w:color w:val="000000"/>
                <w:sz w:val="20"/>
                <w:szCs w:val="20"/>
              </w:rPr>
              <w:t>30.263.357.250</w:t>
            </w:r>
          </w:p>
        </w:tc>
        <w:tc>
          <w:tcPr>
            <w:tcW w:w="1243" w:type="dxa"/>
            <w:tcBorders>
              <w:top w:val="nil"/>
              <w:left w:val="nil"/>
              <w:bottom w:val="nil"/>
              <w:right w:val="single" w:sz="4" w:space="0" w:color="auto"/>
            </w:tcBorders>
            <w:shd w:val="clear" w:color="auto" w:fill="auto"/>
            <w:noWrap/>
            <w:vAlign w:val="bottom"/>
            <w:hideMark/>
          </w:tcPr>
          <w:p w:rsidR="00641296" w:rsidRPr="00364A62" w:rsidRDefault="00641296" w:rsidP="00BF25F0">
            <w:pPr>
              <w:spacing w:line="276" w:lineRule="auto"/>
              <w:jc w:val="center"/>
              <w:rPr>
                <w:sz w:val="20"/>
                <w:szCs w:val="20"/>
              </w:rPr>
            </w:pPr>
            <w:r w:rsidRPr="00364A62">
              <w:rPr>
                <w:sz w:val="20"/>
                <w:szCs w:val="20"/>
              </w:rPr>
              <w:t>92,0</w:t>
            </w:r>
          </w:p>
        </w:tc>
      </w:tr>
      <w:tr w:rsidR="00641296" w:rsidRPr="00364A62" w:rsidTr="00BF25F0">
        <w:trPr>
          <w:trHeight w:val="272"/>
        </w:trPr>
        <w:tc>
          <w:tcPr>
            <w:tcW w:w="4673" w:type="dxa"/>
            <w:tcBorders>
              <w:top w:val="nil"/>
              <w:left w:val="single" w:sz="4" w:space="0" w:color="auto"/>
              <w:bottom w:val="nil"/>
              <w:right w:val="nil"/>
            </w:tcBorders>
            <w:shd w:val="clear" w:color="auto" w:fill="auto"/>
            <w:noWrap/>
            <w:vAlign w:val="center"/>
            <w:hideMark/>
          </w:tcPr>
          <w:p w:rsidR="00641296" w:rsidRPr="00364A62" w:rsidRDefault="00641296" w:rsidP="00BF25F0">
            <w:pPr>
              <w:spacing w:line="276" w:lineRule="auto"/>
              <w:rPr>
                <w:sz w:val="20"/>
                <w:szCs w:val="20"/>
              </w:rPr>
            </w:pPr>
            <w:r w:rsidRPr="00364A62">
              <w:rPr>
                <w:sz w:val="20"/>
                <w:szCs w:val="20"/>
              </w:rPr>
              <w:t>Prijenos depozita iz prethodne godine</w:t>
            </w:r>
          </w:p>
        </w:tc>
        <w:tc>
          <w:tcPr>
            <w:tcW w:w="1701" w:type="dxa"/>
            <w:tcBorders>
              <w:top w:val="nil"/>
              <w:left w:val="single" w:sz="4" w:space="0" w:color="auto"/>
              <w:bottom w:val="nil"/>
              <w:right w:val="single" w:sz="4" w:space="0" w:color="auto"/>
            </w:tcBorders>
            <w:shd w:val="clear" w:color="auto" w:fill="auto"/>
            <w:noWrap/>
            <w:vAlign w:val="center"/>
            <w:hideMark/>
          </w:tcPr>
          <w:p w:rsidR="00641296" w:rsidRPr="00364A62" w:rsidRDefault="00641296" w:rsidP="00BF25F0">
            <w:pPr>
              <w:spacing w:line="276" w:lineRule="auto"/>
              <w:jc w:val="right"/>
              <w:rPr>
                <w:color w:val="000000"/>
                <w:sz w:val="20"/>
                <w:szCs w:val="20"/>
              </w:rPr>
            </w:pPr>
            <w:r w:rsidRPr="00364A62">
              <w:rPr>
                <w:color w:val="000000"/>
                <w:sz w:val="20"/>
                <w:szCs w:val="20"/>
              </w:rPr>
              <w:t>4.593.677.394</w:t>
            </w:r>
          </w:p>
        </w:tc>
        <w:tc>
          <w:tcPr>
            <w:tcW w:w="1701" w:type="dxa"/>
            <w:tcBorders>
              <w:top w:val="nil"/>
              <w:left w:val="nil"/>
              <w:bottom w:val="nil"/>
              <w:right w:val="single" w:sz="4" w:space="0" w:color="auto"/>
            </w:tcBorders>
            <w:shd w:val="clear" w:color="auto" w:fill="auto"/>
            <w:noWrap/>
            <w:vAlign w:val="center"/>
            <w:hideMark/>
          </w:tcPr>
          <w:p w:rsidR="00641296" w:rsidRPr="003500EF" w:rsidRDefault="00641296" w:rsidP="00BF25F0">
            <w:pPr>
              <w:spacing w:line="276" w:lineRule="auto"/>
              <w:jc w:val="right"/>
              <w:rPr>
                <w:sz w:val="20"/>
                <w:szCs w:val="20"/>
              </w:rPr>
            </w:pPr>
            <w:r w:rsidRPr="003500EF">
              <w:rPr>
                <w:sz w:val="20"/>
                <w:szCs w:val="20"/>
              </w:rPr>
              <w:t>2.530.422.787</w:t>
            </w:r>
          </w:p>
        </w:tc>
        <w:tc>
          <w:tcPr>
            <w:tcW w:w="1243" w:type="dxa"/>
            <w:tcBorders>
              <w:top w:val="nil"/>
              <w:left w:val="nil"/>
              <w:bottom w:val="nil"/>
              <w:right w:val="single" w:sz="4" w:space="0" w:color="auto"/>
            </w:tcBorders>
            <w:shd w:val="clear" w:color="auto" w:fill="auto"/>
            <w:noWrap/>
            <w:vAlign w:val="bottom"/>
            <w:hideMark/>
          </w:tcPr>
          <w:p w:rsidR="00641296" w:rsidRPr="00364A62" w:rsidRDefault="00641296" w:rsidP="00BF25F0">
            <w:pPr>
              <w:spacing w:line="276" w:lineRule="auto"/>
              <w:jc w:val="center"/>
              <w:rPr>
                <w:sz w:val="20"/>
                <w:szCs w:val="20"/>
              </w:rPr>
            </w:pPr>
            <w:r w:rsidRPr="00364A62">
              <w:rPr>
                <w:sz w:val="20"/>
                <w:szCs w:val="20"/>
              </w:rPr>
              <w:t>55,1</w:t>
            </w:r>
          </w:p>
        </w:tc>
      </w:tr>
      <w:tr w:rsidR="00641296" w:rsidRPr="00364A62" w:rsidTr="00BF25F0">
        <w:trPr>
          <w:trHeight w:val="272"/>
        </w:trPr>
        <w:tc>
          <w:tcPr>
            <w:tcW w:w="4673" w:type="dxa"/>
            <w:tcBorders>
              <w:top w:val="nil"/>
              <w:left w:val="single" w:sz="4" w:space="0" w:color="auto"/>
              <w:bottom w:val="nil"/>
              <w:right w:val="nil"/>
            </w:tcBorders>
            <w:shd w:val="clear" w:color="auto" w:fill="auto"/>
            <w:noWrap/>
            <w:vAlign w:val="center"/>
            <w:hideMark/>
          </w:tcPr>
          <w:p w:rsidR="00641296" w:rsidRPr="00364A62" w:rsidRDefault="00641296" w:rsidP="00BF25F0">
            <w:pPr>
              <w:spacing w:line="276" w:lineRule="auto"/>
              <w:rPr>
                <w:sz w:val="20"/>
                <w:szCs w:val="20"/>
              </w:rPr>
            </w:pPr>
            <w:r w:rsidRPr="00364A62">
              <w:rPr>
                <w:sz w:val="20"/>
                <w:szCs w:val="20"/>
              </w:rPr>
              <w:t>Planirani prijenos depozita u narednu godinu</w:t>
            </w:r>
          </w:p>
        </w:tc>
        <w:tc>
          <w:tcPr>
            <w:tcW w:w="1701" w:type="dxa"/>
            <w:tcBorders>
              <w:top w:val="nil"/>
              <w:left w:val="single" w:sz="4" w:space="0" w:color="auto"/>
              <w:bottom w:val="nil"/>
              <w:right w:val="single" w:sz="4" w:space="0" w:color="auto"/>
            </w:tcBorders>
            <w:shd w:val="clear" w:color="auto" w:fill="auto"/>
            <w:noWrap/>
            <w:vAlign w:val="center"/>
            <w:hideMark/>
          </w:tcPr>
          <w:p w:rsidR="00641296" w:rsidRPr="00364A62" w:rsidRDefault="00641296" w:rsidP="00BF25F0">
            <w:pPr>
              <w:spacing w:line="276" w:lineRule="auto"/>
              <w:jc w:val="right"/>
              <w:rPr>
                <w:color w:val="000000"/>
                <w:sz w:val="20"/>
                <w:szCs w:val="20"/>
              </w:rPr>
            </w:pPr>
            <w:r w:rsidRPr="00364A62">
              <w:rPr>
                <w:color w:val="000000"/>
                <w:sz w:val="20"/>
                <w:szCs w:val="20"/>
              </w:rPr>
              <w:t>-6.946.308.718</w:t>
            </w:r>
          </w:p>
        </w:tc>
        <w:tc>
          <w:tcPr>
            <w:tcW w:w="1701" w:type="dxa"/>
            <w:tcBorders>
              <w:top w:val="nil"/>
              <w:left w:val="nil"/>
              <w:bottom w:val="nil"/>
              <w:right w:val="single" w:sz="4" w:space="0" w:color="auto"/>
            </w:tcBorders>
            <w:shd w:val="clear" w:color="auto" w:fill="auto"/>
            <w:noWrap/>
            <w:vAlign w:val="center"/>
            <w:hideMark/>
          </w:tcPr>
          <w:p w:rsidR="00641296" w:rsidRPr="003500EF" w:rsidRDefault="00641296" w:rsidP="00BF25F0">
            <w:pPr>
              <w:spacing w:line="276" w:lineRule="auto"/>
              <w:jc w:val="right"/>
              <w:rPr>
                <w:sz w:val="20"/>
                <w:szCs w:val="20"/>
              </w:rPr>
            </w:pPr>
            <w:r w:rsidRPr="003500EF">
              <w:rPr>
                <w:sz w:val="20"/>
                <w:szCs w:val="20"/>
              </w:rPr>
              <w:t>-7.763.504.632</w:t>
            </w:r>
          </w:p>
        </w:tc>
        <w:tc>
          <w:tcPr>
            <w:tcW w:w="1243" w:type="dxa"/>
            <w:tcBorders>
              <w:top w:val="nil"/>
              <w:left w:val="nil"/>
              <w:bottom w:val="nil"/>
              <w:right w:val="single" w:sz="4" w:space="0" w:color="auto"/>
            </w:tcBorders>
            <w:shd w:val="clear" w:color="auto" w:fill="auto"/>
            <w:noWrap/>
            <w:vAlign w:val="bottom"/>
            <w:hideMark/>
          </w:tcPr>
          <w:p w:rsidR="00641296" w:rsidRPr="00364A62" w:rsidRDefault="00641296" w:rsidP="00BF25F0">
            <w:pPr>
              <w:spacing w:line="276" w:lineRule="auto"/>
              <w:jc w:val="center"/>
              <w:rPr>
                <w:sz w:val="20"/>
                <w:szCs w:val="20"/>
              </w:rPr>
            </w:pPr>
            <w:r w:rsidRPr="00364A62">
              <w:rPr>
                <w:sz w:val="20"/>
                <w:szCs w:val="20"/>
              </w:rPr>
              <w:t>111,8</w:t>
            </w:r>
          </w:p>
        </w:tc>
      </w:tr>
      <w:tr w:rsidR="00641296" w:rsidRPr="00364A62" w:rsidTr="00BF25F0">
        <w:trPr>
          <w:trHeight w:val="272"/>
        </w:trPr>
        <w:tc>
          <w:tcPr>
            <w:tcW w:w="4673" w:type="dxa"/>
            <w:tcBorders>
              <w:top w:val="nil"/>
              <w:left w:val="single" w:sz="4" w:space="0" w:color="auto"/>
              <w:bottom w:val="nil"/>
              <w:right w:val="nil"/>
            </w:tcBorders>
            <w:shd w:val="clear" w:color="auto" w:fill="auto"/>
            <w:noWrap/>
            <w:vAlign w:val="center"/>
            <w:hideMark/>
          </w:tcPr>
          <w:p w:rsidR="00641296" w:rsidRPr="00364A62" w:rsidRDefault="00641296" w:rsidP="00BF25F0">
            <w:pPr>
              <w:spacing w:line="276" w:lineRule="auto"/>
              <w:rPr>
                <w:sz w:val="20"/>
                <w:szCs w:val="20"/>
              </w:rPr>
            </w:pPr>
            <w:r w:rsidRPr="00364A62">
              <w:rPr>
                <w:sz w:val="20"/>
                <w:szCs w:val="20"/>
              </w:rPr>
              <w:t>Neto financiranje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41296" w:rsidRPr="00364A62" w:rsidRDefault="00641296" w:rsidP="00BF25F0">
            <w:pPr>
              <w:spacing w:line="276" w:lineRule="auto"/>
              <w:jc w:val="right"/>
              <w:rPr>
                <w:color w:val="000000"/>
                <w:sz w:val="20"/>
                <w:szCs w:val="20"/>
              </w:rPr>
            </w:pPr>
            <w:r w:rsidRPr="00364A62">
              <w:rPr>
                <w:color w:val="000000"/>
                <w:sz w:val="20"/>
                <w:szCs w:val="20"/>
              </w:rPr>
              <w:t>1.264.545.308</w:t>
            </w:r>
          </w:p>
        </w:tc>
        <w:tc>
          <w:tcPr>
            <w:tcW w:w="1701" w:type="dxa"/>
            <w:tcBorders>
              <w:top w:val="nil"/>
              <w:left w:val="nil"/>
              <w:bottom w:val="single" w:sz="4" w:space="0" w:color="auto"/>
              <w:right w:val="single" w:sz="4" w:space="0" w:color="auto"/>
            </w:tcBorders>
            <w:shd w:val="clear" w:color="auto" w:fill="auto"/>
            <w:noWrap/>
            <w:vAlign w:val="center"/>
            <w:hideMark/>
          </w:tcPr>
          <w:p w:rsidR="00641296" w:rsidRPr="00364A62" w:rsidRDefault="00641296" w:rsidP="00BF25F0">
            <w:pPr>
              <w:spacing w:line="276" w:lineRule="auto"/>
              <w:jc w:val="right"/>
              <w:rPr>
                <w:color w:val="000000"/>
                <w:sz w:val="20"/>
                <w:szCs w:val="20"/>
              </w:rPr>
            </w:pPr>
            <w:r w:rsidRPr="00364A62">
              <w:rPr>
                <w:color w:val="000000"/>
                <w:sz w:val="20"/>
                <w:szCs w:val="20"/>
              </w:rPr>
              <w:t>-49.593.703</w:t>
            </w:r>
          </w:p>
        </w:tc>
        <w:tc>
          <w:tcPr>
            <w:tcW w:w="1243" w:type="dxa"/>
            <w:tcBorders>
              <w:top w:val="nil"/>
              <w:left w:val="nil"/>
              <w:bottom w:val="nil"/>
              <w:right w:val="single" w:sz="4" w:space="0" w:color="auto"/>
            </w:tcBorders>
            <w:shd w:val="clear" w:color="auto" w:fill="auto"/>
            <w:noWrap/>
            <w:vAlign w:val="bottom"/>
            <w:hideMark/>
          </w:tcPr>
          <w:p w:rsidR="00641296" w:rsidRPr="00364A62" w:rsidRDefault="00641296" w:rsidP="00BF25F0">
            <w:pPr>
              <w:spacing w:line="276" w:lineRule="auto"/>
              <w:jc w:val="center"/>
              <w:rPr>
                <w:sz w:val="20"/>
                <w:szCs w:val="20"/>
              </w:rPr>
            </w:pPr>
          </w:p>
        </w:tc>
      </w:tr>
      <w:tr w:rsidR="00641296" w:rsidRPr="00364A62" w:rsidTr="00BF25F0">
        <w:trPr>
          <w:trHeight w:val="272"/>
        </w:trPr>
        <w:tc>
          <w:tcPr>
            <w:tcW w:w="4673" w:type="dxa"/>
            <w:tcBorders>
              <w:top w:val="single" w:sz="4" w:space="0" w:color="333333"/>
              <w:left w:val="single" w:sz="4" w:space="0" w:color="auto"/>
              <w:bottom w:val="single" w:sz="4" w:space="0" w:color="auto"/>
              <w:right w:val="single" w:sz="4" w:space="0" w:color="333333"/>
            </w:tcBorders>
            <w:shd w:val="clear" w:color="000000" w:fill="C5D9F1"/>
            <w:noWrap/>
            <w:vAlign w:val="bottom"/>
            <w:hideMark/>
          </w:tcPr>
          <w:p w:rsidR="00641296" w:rsidRPr="00364A62" w:rsidRDefault="00641296" w:rsidP="00BF25F0">
            <w:pPr>
              <w:spacing w:line="276" w:lineRule="auto"/>
              <w:rPr>
                <w:b/>
                <w:bCs/>
                <w:sz w:val="20"/>
                <w:szCs w:val="20"/>
              </w:rPr>
            </w:pPr>
            <w:r w:rsidRPr="00364A62">
              <w:rPr>
                <w:b/>
                <w:bCs/>
                <w:sz w:val="20"/>
                <w:szCs w:val="20"/>
              </w:rPr>
              <w:t>Višak/manjak + neto financiranje</w:t>
            </w:r>
          </w:p>
        </w:tc>
        <w:tc>
          <w:tcPr>
            <w:tcW w:w="1701" w:type="dxa"/>
            <w:tcBorders>
              <w:top w:val="nil"/>
              <w:left w:val="single" w:sz="4" w:space="0" w:color="auto"/>
              <w:bottom w:val="single" w:sz="4" w:space="0" w:color="auto"/>
              <w:right w:val="single" w:sz="4" w:space="0" w:color="auto"/>
            </w:tcBorders>
            <w:shd w:val="clear" w:color="000000" w:fill="C5D9F1"/>
            <w:vAlign w:val="center"/>
            <w:hideMark/>
          </w:tcPr>
          <w:p w:rsidR="00641296" w:rsidRPr="00364A62" w:rsidRDefault="00641296" w:rsidP="00BF25F0">
            <w:pPr>
              <w:spacing w:line="276" w:lineRule="auto"/>
              <w:jc w:val="right"/>
              <w:rPr>
                <w:b/>
                <w:bCs/>
                <w:sz w:val="20"/>
                <w:szCs w:val="20"/>
              </w:rPr>
            </w:pPr>
            <w:r w:rsidRPr="00364A62">
              <w:rPr>
                <w:b/>
                <w:bCs/>
                <w:sz w:val="20"/>
                <w:szCs w:val="20"/>
              </w:rPr>
              <w:t>0</w:t>
            </w:r>
          </w:p>
        </w:tc>
        <w:tc>
          <w:tcPr>
            <w:tcW w:w="1701" w:type="dxa"/>
            <w:tcBorders>
              <w:top w:val="nil"/>
              <w:left w:val="nil"/>
              <w:bottom w:val="single" w:sz="4" w:space="0" w:color="auto"/>
              <w:right w:val="single" w:sz="4" w:space="0" w:color="auto"/>
            </w:tcBorders>
            <w:shd w:val="clear" w:color="000000" w:fill="C5D9F1"/>
            <w:vAlign w:val="center"/>
            <w:hideMark/>
          </w:tcPr>
          <w:p w:rsidR="00641296" w:rsidRPr="00364A62" w:rsidRDefault="00641296" w:rsidP="00BF25F0">
            <w:pPr>
              <w:spacing w:line="276" w:lineRule="auto"/>
              <w:jc w:val="right"/>
              <w:rPr>
                <w:b/>
                <w:bCs/>
                <w:sz w:val="20"/>
                <w:szCs w:val="20"/>
              </w:rPr>
            </w:pPr>
            <w:r w:rsidRPr="00364A62">
              <w:rPr>
                <w:b/>
                <w:bCs/>
                <w:sz w:val="20"/>
                <w:szCs w:val="20"/>
              </w:rPr>
              <w:t>0</w:t>
            </w:r>
          </w:p>
        </w:tc>
        <w:tc>
          <w:tcPr>
            <w:tcW w:w="1243" w:type="dxa"/>
            <w:tcBorders>
              <w:top w:val="single" w:sz="4" w:space="0" w:color="auto"/>
              <w:left w:val="nil"/>
              <w:bottom w:val="single" w:sz="4" w:space="0" w:color="auto"/>
              <w:right w:val="single" w:sz="4" w:space="0" w:color="auto"/>
            </w:tcBorders>
            <w:shd w:val="clear" w:color="000000" w:fill="C5D9F1"/>
            <w:vAlign w:val="center"/>
            <w:hideMark/>
          </w:tcPr>
          <w:p w:rsidR="00641296" w:rsidRPr="00364A62" w:rsidRDefault="00641296" w:rsidP="00BF25F0">
            <w:pPr>
              <w:spacing w:line="276" w:lineRule="auto"/>
              <w:jc w:val="center"/>
              <w:rPr>
                <w:b/>
                <w:bCs/>
                <w:sz w:val="20"/>
                <w:szCs w:val="20"/>
              </w:rPr>
            </w:pPr>
            <w:r w:rsidRPr="00364A62">
              <w:rPr>
                <w:b/>
                <w:bCs/>
                <w:sz w:val="20"/>
                <w:szCs w:val="20"/>
              </w:rPr>
              <w:t> </w:t>
            </w:r>
          </w:p>
        </w:tc>
      </w:tr>
    </w:tbl>
    <w:p w:rsidR="00641296" w:rsidRPr="00206BED" w:rsidRDefault="00641296" w:rsidP="00641296">
      <w:pPr>
        <w:spacing w:line="276" w:lineRule="auto"/>
        <w:rPr>
          <w:b/>
          <w:bCs/>
        </w:rPr>
      </w:pPr>
    </w:p>
    <w:p w:rsidR="00641296" w:rsidRPr="00206BED" w:rsidRDefault="00641296" w:rsidP="00641296">
      <w:pPr>
        <w:spacing w:line="276" w:lineRule="auto"/>
        <w:rPr>
          <w:b/>
          <w:bCs/>
        </w:rPr>
      </w:pPr>
    </w:p>
    <w:p w:rsidR="00641296" w:rsidRPr="00206BED" w:rsidRDefault="00641296" w:rsidP="00641296">
      <w:pPr>
        <w:spacing w:line="276" w:lineRule="auto"/>
      </w:pPr>
      <w:r w:rsidRPr="00206BED">
        <w:t>Sljedeća tablica daje prikaz strukture plana i izvršenja računa financiranja državnog proračuna za 2019. godinu.</w:t>
      </w:r>
    </w:p>
    <w:p w:rsidR="00641296" w:rsidRPr="00206BED" w:rsidRDefault="00641296" w:rsidP="00641296">
      <w:pPr>
        <w:spacing w:line="276" w:lineRule="auto"/>
        <w:rPr>
          <w:b/>
        </w:rPr>
      </w:pPr>
    </w:p>
    <w:p w:rsidR="00641296" w:rsidRPr="00206BED" w:rsidRDefault="00641296" w:rsidP="00206BED">
      <w:pPr>
        <w:keepNext/>
        <w:spacing w:line="276" w:lineRule="auto"/>
        <w:rPr>
          <w:i/>
        </w:rPr>
      </w:pPr>
      <w:r w:rsidRPr="00206BED">
        <w:rPr>
          <w:i/>
        </w:rPr>
        <w:lastRenderedPageBreak/>
        <w:t xml:space="preserve">Tablica </w:t>
      </w:r>
      <w:r w:rsidR="00206BED" w:rsidRPr="00206BED">
        <w:rPr>
          <w:i/>
        </w:rPr>
        <w:t>15</w:t>
      </w:r>
      <w:r w:rsidRPr="00206BED">
        <w:rPr>
          <w:i/>
        </w:rPr>
        <w:t>. Račun financiranja</w:t>
      </w:r>
    </w:p>
    <w:tbl>
      <w:tblPr>
        <w:tblW w:w="9175" w:type="dxa"/>
        <w:tblInd w:w="113" w:type="dxa"/>
        <w:tblLook w:val="04A0" w:firstRow="1" w:lastRow="0" w:firstColumn="1" w:lastColumn="0" w:noHBand="0" w:noVBand="1"/>
      </w:tblPr>
      <w:tblGrid>
        <w:gridCol w:w="5354"/>
        <w:gridCol w:w="1400"/>
        <w:gridCol w:w="1400"/>
        <w:gridCol w:w="1021"/>
      </w:tblGrid>
      <w:tr w:rsidR="00641296" w:rsidRPr="00EA075F" w:rsidTr="00206BED">
        <w:trPr>
          <w:trHeight w:val="894"/>
        </w:trPr>
        <w:tc>
          <w:tcPr>
            <w:tcW w:w="5357"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641296" w:rsidRPr="00EA075F" w:rsidRDefault="00641296" w:rsidP="00206BED">
            <w:pPr>
              <w:keepNext/>
              <w:jc w:val="center"/>
              <w:rPr>
                <w:b/>
                <w:bCs/>
                <w:sz w:val="18"/>
                <w:szCs w:val="18"/>
              </w:rPr>
            </w:pPr>
            <w:r w:rsidRPr="00EA075F">
              <w:rPr>
                <w:b/>
                <w:bCs/>
                <w:sz w:val="18"/>
                <w:szCs w:val="18"/>
              </w:rPr>
              <w:t>(u kunama)</w:t>
            </w:r>
          </w:p>
        </w:tc>
        <w:tc>
          <w:tcPr>
            <w:tcW w:w="1401" w:type="dxa"/>
            <w:tcBorders>
              <w:top w:val="single" w:sz="4" w:space="0" w:color="auto"/>
              <w:left w:val="nil"/>
              <w:bottom w:val="single" w:sz="4" w:space="0" w:color="auto"/>
              <w:right w:val="single" w:sz="4" w:space="0" w:color="auto"/>
            </w:tcBorders>
            <w:shd w:val="clear" w:color="000000" w:fill="C5D9F1"/>
            <w:vAlign w:val="center"/>
            <w:hideMark/>
          </w:tcPr>
          <w:p w:rsidR="00641296" w:rsidRPr="00EA075F" w:rsidRDefault="00641296" w:rsidP="00206BED">
            <w:pPr>
              <w:keepNext/>
              <w:jc w:val="center"/>
              <w:rPr>
                <w:b/>
                <w:bCs/>
                <w:sz w:val="18"/>
                <w:szCs w:val="18"/>
              </w:rPr>
            </w:pPr>
            <w:r w:rsidRPr="00EA075F">
              <w:rPr>
                <w:b/>
                <w:bCs/>
                <w:sz w:val="18"/>
                <w:szCs w:val="18"/>
              </w:rPr>
              <w:t>Plan</w:t>
            </w:r>
            <w:r w:rsidRPr="00EA075F">
              <w:rPr>
                <w:b/>
                <w:bCs/>
                <w:sz w:val="18"/>
                <w:szCs w:val="18"/>
              </w:rPr>
              <w:br/>
              <w:t>2019.</w:t>
            </w:r>
          </w:p>
        </w:tc>
        <w:tc>
          <w:tcPr>
            <w:tcW w:w="1401" w:type="dxa"/>
            <w:tcBorders>
              <w:top w:val="single" w:sz="4" w:space="0" w:color="auto"/>
              <w:left w:val="nil"/>
              <w:bottom w:val="single" w:sz="4" w:space="0" w:color="auto"/>
              <w:right w:val="single" w:sz="4" w:space="0" w:color="auto"/>
            </w:tcBorders>
            <w:shd w:val="clear" w:color="000000" w:fill="C5D9F1"/>
            <w:vAlign w:val="center"/>
            <w:hideMark/>
          </w:tcPr>
          <w:p w:rsidR="00641296" w:rsidRPr="00EA075F" w:rsidRDefault="00641296" w:rsidP="00206BED">
            <w:pPr>
              <w:keepNext/>
              <w:jc w:val="center"/>
              <w:rPr>
                <w:b/>
                <w:bCs/>
                <w:sz w:val="18"/>
                <w:szCs w:val="18"/>
              </w:rPr>
            </w:pPr>
            <w:r w:rsidRPr="00EA075F">
              <w:rPr>
                <w:b/>
                <w:bCs/>
                <w:sz w:val="18"/>
                <w:szCs w:val="18"/>
              </w:rPr>
              <w:t>Izvršenje</w:t>
            </w:r>
            <w:r w:rsidRPr="00EA075F">
              <w:rPr>
                <w:b/>
                <w:bCs/>
                <w:sz w:val="18"/>
                <w:szCs w:val="18"/>
              </w:rPr>
              <w:br/>
              <w:t>I-XII 2019.</w:t>
            </w:r>
          </w:p>
        </w:tc>
        <w:tc>
          <w:tcPr>
            <w:tcW w:w="1016" w:type="dxa"/>
            <w:tcBorders>
              <w:top w:val="single" w:sz="4" w:space="0" w:color="auto"/>
              <w:left w:val="nil"/>
              <w:bottom w:val="single" w:sz="4" w:space="0" w:color="auto"/>
              <w:right w:val="single" w:sz="4" w:space="0" w:color="auto"/>
            </w:tcBorders>
            <w:shd w:val="clear" w:color="000000" w:fill="C5D9F1"/>
            <w:vAlign w:val="center"/>
            <w:hideMark/>
          </w:tcPr>
          <w:p w:rsidR="00641296" w:rsidRPr="00EA075F" w:rsidRDefault="00641296" w:rsidP="00206BED">
            <w:pPr>
              <w:keepNext/>
              <w:jc w:val="center"/>
              <w:rPr>
                <w:b/>
                <w:bCs/>
                <w:sz w:val="18"/>
                <w:szCs w:val="18"/>
              </w:rPr>
            </w:pPr>
            <w:r w:rsidRPr="00EA075F">
              <w:rPr>
                <w:b/>
                <w:bCs/>
                <w:sz w:val="18"/>
                <w:szCs w:val="18"/>
              </w:rPr>
              <w:t>Indeks</w:t>
            </w:r>
            <w:r w:rsidRPr="00EA075F">
              <w:rPr>
                <w:b/>
                <w:bCs/>
                <w:sz w:val="18"/>
                <w:szCs w:val="18"/>
              </w:rPr>
              <w:br/>
              <w:t>I-XII 2019./Plan 2019.</w:t>
            </w:r>
          </w:p>
        </w:tc>
      </w:tr>
      <w:tr w:rsidR="00641296" w:rsidRPr="00EA075F" w:rsidTr="00206BED">
        <w:trPr>
          <w:trHeight w:val="258"/>
        </w:trPr>
        <w:tc>
          <w:tcPr>
            <w:tcW w:w="5357"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641296" w:rsidRPr="00EA075F" w:rsidRDefault="00641296" w:rsidP="00206BED">
            <w:pPr>
              <w:keepNext/>
              <w:jc w:val="center"/>
              <w:rPr>
                <w:b/>
                <w:bCs/>
                <w:sz w:val="18"/>
                <w:szCs w:val="18"/>
              </w:rPr>
            </w:pPr>
            <w:r w:rsidRPr="00EA075F">
              <w:rPr>
                <w:b/>
                <w:bCs/>
                <w:sz w:val="18"/>
                <w:szCs w:val="18"/>
              </w:rPr>
              <w:t> </w:t>
            </w:r>
          </w:p>
        </w:tc>
        <w:tc>
          <w:tcPr>
            <w:tcW w:w="1401" w:type="dxa"/>
            <w:tcBorders>
              <w:top w:val="single" w:sz="4" w:space="0" w:color="auto"/>
              <w:left w:val="nil"/>
              <w:bottom w:val="single" w:sz="4" w:space="0" w:color="auto"/>
              <w:right w:val="single" w:sz="4" w:space="0" w:color="auto"/>
            </w:tcBorders>
            <w:shd w:val="clear" w:color="000000" w:fill="C5D9F1"/>
            <w:vAlign w:val="center"/>
            <w:hideMark/>
          </w:tcPr>
          <w:p w:rsidR="00641296" w:rsidRPr="00EA075F" w:rsidRDefault="00641296" w:rsidP="00206BED">
            <w:pPr>
              <w:keepNext/>
              <w:jc w:val="center"/>
              <w:rPr>
                <w:b/>
                <w:bCs/>
                <w:sz w:val="18"/>
                <w:szCs w:val="18"/>
              </w:rPr>
            </w:pPr>
            <w:r w:rsidRPr="00EA075F">
              <w:rPr>
                <w:b/>
                <w:bCs/>
                <w:sz w:val="18"/>
                <w:szCs w:val="18"/>
              </w:rPr>
              <w:t>1</w:t>
            </w:r>
          </w:p>
        </w:tc>
        <w:tc>
          <w:tcPr>
            <w:tcW w:w="1401" w:type="dxa"/>
            <w:tcBorders>
              <w:top w:val="single" w:sz="4" w:space="0" w:color="auto"/>
              <w:left w:val="nil"/>
              <w:bottom w:val="single" w:sz="4" w:space="0" w:color="auto"/>
              <w:right w:val="single" w:sz="4" w:space="0" w:color="auto"/>
            </w:tcBorders>
            <w:shd w:val="clear" w:color="000000" w:fill="C5D9F1"/>
            <w:vAlign w:val="center"/>
            <w:hideMark/>
          </w:tcPr>
          <w:p w:rsidR="00641296" w:rsidRPr="00EA075F" w:rsidRDefault="00641296" w:rsidP="00206BED">
            <w:pPr>
              <w:keepNext/>
              <w:jc w:val="center"/>
              <w:rPr>
                <w:b/>
                <w:bCs/>
                <w:sz w:val="18"/>
                <w:szCs w:val="18"/>
              </w:rPr>
            </w:pPr>
            <w:r w:rsidRPr="00EA075F">
              <w:rPr>
                <w:b/>
                <w:bCs/>
                <w:sz w:val="18"/>
                <w:szCs w:val="18"/>
              </w:rPr>
              <w:t>2</w:t>
            </w:r>
          </w:p>
        </w:tc>
        <w:tc>
          <w:tcPr>
            <w:tcW w:w="1016" w:type="dxa"/>
            <w:tcBorders>
              <w:top w:val="single" w:sz="4" w:space="0" w:color="auto"/>
              <w:left w:val="nil"/>
              <w:bottom w:val="single" w:sz="4" w:space="0" w:color="auto"/>
              <w:right w:val="single" w:sz="4" w:space="0" w:color="auto"/>
            </w:tcBorders>
            <w:shd w:val="clear" w:color="000000" w:fill="C5D9F1"/>
            <w:vAlign w:val="center"/>
            <w:hideMark/>
          </w:tcPr>
          <w:p w:rsidR="00641296" w:rsidRPr="00EA075F" w:rsidRDefault="00641296" w:rsidP="00206BED">
            <w:pPr>
              <w:keepNext/>
              <w:jc w:val="center"/>
              <w:rPr>
                <w:b/>
                <w:bCs/>
                <w:sz w:val="18"/>
                <w:szCs w:val="18"/>
              </w:rPr>
            </w:pPr>
            <w:r w:rsidRPr="00EA075F">
              <w:rPr>
                <w:b/>
                <w:bCs/>
                <w:sz w:val="18"/>
                <w:szCs w:val="18"/>
              </w:rPr>
              <w:t>3=2/1</w:t>
            </w:r>
          </w:p>
        </w:tc>
      </w:tr>
      <w:tr w:rsidR="00641296" w:rsidRPr="00EA075F" w:rsidTr="00206BED">
        <w:trPr>
          <w:trHeight w:val="258"/>
        </w:trPr>
        <w:tc>
          <w:tcPr>
            <w:tcW w:w="5357" w:type="dxa"/>
            <w:tcBorders>
              <w:top w:val="nil"/>
              <w:left w:val="single" w:sz="4" w:space="0" w:color="auto"/>
              <w:bottom w:val="nil"/>
              <w:right w:val="single" w:sz="4" w:space="0" w:color="auto"/>
            </w:tcBorders>
            <w:shd w:val="clear" w:color="auto" w:fill="auto"/>
            <w:noWrap/>
            <w:vAlign w:val="center"/>
            <w:hideMark/>
          </w:tcPr>
          <w:p w:rsidR="00641296" w:rsidRPr="00EA075F" w:rsidRDefault="00641296" w:rsidP="00206BED">
            <w:pPr>
              <w:keepNext/>
              <w:ind w:firstLineChars="100" w:firstLine="180"/>
              <w:rPr>
                <w:sz w:val="18"/>
                <w:szCs w:val="18"/>
              </w:rPr>
            </w:pPr>
            <w:r w:rsidRPr="00EA075F">
              <w:rPr>
                <w:sz w:val="18"/>
                <w:szCs w:val="18"/>
              </w:rPr>
              <w:t xml:space="preserve">NETO FINANCIRANJE </w:t>
            </w:r>
          </w:p>
        </w:tc>
        <w:tc>
          <w:tcPr>
            <w:tcW w:w="1401" w:type="dxa"/>
            <w:tcBorders>
              <w:top w:val="nil"/>
              <w:left w:val="nil"/>
              <w:bottom w:val="single" w:sz="4" w:space="0" w:color="auto"/>
              <w:right w:val="single" w:sz="4" w:space="0" w:color="auto"/>
            </w:tcBorders>
            <w:shd w:val="clear" w:color="auto" w:fill="auto"/>
            <w:noWrap/>
            <w:vAlign w:val="center"/>
            <w:hideMark/>
          </w:tcPr>
          <w:p w:rsidR="00641296" w:rsidRPr="00EA075F" w:rsidRDefault="00641296" w:rsidP="00206BED">
            <w:pPr>
              <w:keepNext/>
              <w:jc w:val="right"/>
              <w:rPr>
                <w:sz w:val="18"/>
                <w:szCs w:val="18"/>
              </w:rPr>
            </w:pPr>
            <w:r w:rsidRPr="00EA075F">
              <w:rPr>
                <w:sz w:val="18"/>
                <w:szCs w:val="18"/>
              </w:rPr>
              <w:t>1.264.545.308</w:t>
            </w:r>
          </w:p>
        </w:tc>
        <w:tc>
          <w:tcPr>
            <w:tcW w:w="1401" w:type="dxa"/>
            <w:tcBorders>
              <w:top w:val="nil"/>
              <w:left w:val="nil"/>
              <w:bottom w:val="nil"/>
              <w:right w:val="single" w:sz="4" w:space="0" w:color="auto"/>
            </w:tcBorders>
            <w:shd w:val="clear" w:color="auto" w:fill="auto"/>
            <w:noWrap/>
            <w:vAlign w:val="center"/>
            <w:hideMark/>
          </w:tcPr>
          <w:p w:rsidR="00641296" w:rsidRPr="00EA075F" w:rsidRDefault="00641296" w:rsidP="00206BED">
            <w:pPr>
              <w:keepNext/>
              <w:jc w:val="right"/>
              <w:rPr>
                <w:sz w:val="18"/>
                <w:szCs w:val="18"/>
              </w:rPr>
            </w:pPr>
            <w:r>
              <w:rPr>
                <w:sz w:val="18"/>
                <w:szCs w:val="18"/>
              </w:rPr>
              <w:t>-</w:t>
            </w:r>
            <w:r w:rsidRPr="00EA075F">
              <w:rPr>
                <w:sz w:val="18"/>
                <w:szCs w:val="18"/>
              </w:rPr>
              <w:t>49.593.703</w:t>
            </w:r>
          </w:p>
        </w:tc>
        <w:tc>
          <w:tcPr>
            <w:tcW w:w="1016" w:type="dxa"/>
            <w:tcBorders>
              <w:top w:val="nil"/>
              <w:left w:val="nil"/>
              <w:bottom w:val="nil"/>
              <w:right w:val="single" w:sz="4" w:space="0" w:color="auto"/>
            </w:tcBorders>
            <w:shd w:val="clear" w:color="auto" w:fill="auto"/>
            <w:noWrap/>
            <w:vAlign w:val="center"/>
            <w:hideMark/>
          </w:tcPr>
          <w:p w:rsidR="00641296" w:rsidRPr="00EA075F" w:rsidRDefault="00641296" w:rsidP="00206BED">
            <w:pPr>
              <w:keepNext/>
              <w:jc w:val="center"/>
              <w:rPr>
                <w:sz w:val="18"/>
                <w:szCs w:val="18"/>
              </w:rPr>
            </w:pPr>
          </w:p>
        </w:tc>
      </w:tr>
      <w:tr w:rsidR="00641296" w:rsidRPr="00EA075F" w:rsidTr="00206BED">
        <w:trPr>
          <w:trHeight w:val="258"/>
        </w:trPr>
        <w:tc>
          <w:tcPr>
            <w:tcW w:w="5357" w:type="dxa"/>
            <w:tcBorders>
              <w:top w:val="single" w:sz="4" w:space="0" w:color="auto"/>
              <w:left w:val="single" w:sz="4" w:space="0" w:color="auto"/>
              <w:bottom w:val="nil"/>
              <w:right w:val="nil"/>
            </w:tcBorders>
            <w:shd w:val="clear" w:color="auto" w:fill="auto"/>
            <w:noWrap/>
            <w:vAlign w:val="center"/>
            <w:hideMark/>
          </w:tcPr>
          <w:p w:rsidR="00641296" w:rsidRPr="00EA075F" w:rsidRDefault="00641296" w:rsidP="00206BED">
            <w:pPr>
              <w:keepNext/>
              <w:ind w:firstLineChars="100" w:firstLine="180"/>
              <w:rPr>
                <w:sz w:val="18"/>
                <w:szCs w:val="18"/>
              </w:rPr>
            </w:pPr>
            <w:r w:rsidRPr="00EA075F">
              <w:rPr>
                <w:sz w:val="18"/>
                <w:szCs w:val="18"/>
              </w:rPr>
              <w:t>Prijenos depozita iz prethodne godine</w:t>
            </w:r>
          </w:p>
        </w:tc>
        <w:tc>
          <w:tcPr>
            <w:tcW w:w="1401" w:type="dxa"/>
            <w:tcBorders>
              <w:top w:val="nil"/>
              <w:left w:val="single" w:sz="4" w:space="0" w:color="auto"/>
              <w:bottom w:val="nil"/>
              <w:right w:val="single" w:sz="4" w:space="0" w:color="auto"/>
            </w:tcBorders>
            <w:shd w:val="clear" w:color="auto" w:fill="auto"/>
            <w:noWrap/>
            <w:vAlign w:val="center"/>
            <w:hideMark/>
          </w:tcPr>
          <w:p w:rsidR="00641296" w:rsidRPr="00EA075F" w:rsidRDefault="00641296" w:rsidP="00206BED">
            <w:pPr>
              <w:keepNext/>
              <w:jc w:val="right"/>
              <w:rPr>
                <w:sz w:val="18"/>
                <w:szCs w:val="18"/>
              </w:rPr>
            </w:pPr>
            <w:r w:rsidRPr="00EA075F">
              <w:rPr>
                <w:sz w:val="18"/>
                <w:szCs w:val="18"/>
              </w:rPr>
              <w:t>4.593.677.394</w:t>
            </w:r>
          </w:p>
        </w:tc>
        <w:tc>
          <w:tcPr>
            <w:tcW w:w="1401" w:type="dxa"/>
            <w:tcBorders>
              <w:top w:val="single" w:sz="4" w:space="0" w:color="auto"/>
              <w:left w:val="nil"/>
              <w:bottom w:val="nil"/>
              <w:right w:val="single" w:sz="4" w:space="0" w:color="auto"/>
            </w:tcBorders>
            <w:shd w:val="clear" w:color="auto" w:fill="auto"/>
            <w:noWrap/>
            <w:vAlign w:val="center"/>
            <w:hideMark/>
          </w:tcPr>
          <w:p w:rsidR="00641296" w:rsidRPr="003500EF" w:rsidRDefault="00641296" w:rsidP="00206BED">
            <w:pPr>
              <w:keepNext/>
              <w:jc w:val="right"/>
              <w:rPr>
                <w:sz w:val="18"/>
                <w:szCs w:val="18"/>
              </w:rPr>
            </w:pPr>
            <w:r w:rsidRPr="003500EF">
              <w:rPr>
                <w:sz w:val="18"/>
                <w:szCs w:val="18"/>
              </w:rPr>
              <w:t>2.530.422.787</w:t>
            </w:r>
          </w:p>
        </w:tc>
        <w:tc>
          <w:tcPr>
            <w:tcW w:w="1016" w:type="dxa"/>
            <w:tcBorders>
              <w:top w:val="single" w:sz="4" w:space="0" w:color="auto"/>
              <w:left w:val="nil"/>
              <w:bottom w:val="nil"/>
              <w:right w:val="single" w:sz="4" w:space="0" w:color="auto"/>
            </w:tcBorders>
            <w:shd w:val="clear" w:color="auto" w:fill="auto"/>
            <w:noWrap/>
            <w:vAlign w:val="center"/>
            <w:hideMark/>
          </w:tcPr>
          <w:p w:rsidR="00641296" w:rsidRPr="00EA075F" w:rsidRDefault="00641296" w:rsidP="00206BED">
            <w:pPr>
              <w:keepNext/>
              <w:jc w:val="center"/>
              <w:rPr>
                <w:sz w:val="18"/>
                <w:szCs w:val="18"/>
              </w:rPr>
            </w:pPr>
            <w:r w:rsidRPr="00EA075F">
              <w:rPr>
                <w:sz w:val="18"/>
                <w:szCs w:val="18"/>
              </w:rPr>
              <w:t>55,1</w:t>
            </w:r>
          </w:p>
        </w:tc>
      </w:tr>
      <w:tr w:rsidR="00641296" w:rsidRPr="00EA075F" w:rsidTr="00206BED">
        <w:trPr>
          <w:trHeight w:val="258"/>
        </w:trPr>
        <w:tc>
          <w:tcPr>
            <w:tcW w:w="5357" w:type="dxa"/>
            <w:tcBorders>
              <w:top w:val="nil"/>
              <w:left w:val="single" w:sz="4" w:space="0" w:color="auto"/>
              <w:bottom w:val="single" w:sz="4" w:space="0" w:color="auto"/>
              <w:right w:val="nil"/>
            </w:tcBorders>
            <w:shd w:val="clear" w:color="auto" w:fill="auto"/>
            <w:noWrap/>
            <w:vAlign w:val="center"/>
            <w:hideMark/>
          </w:tcPr>
          <w:p w:rsidR="00641296" w:rsidRPr="00EA075F" w:rsidRDefault="00641296" w:rsidP="00BF25F0">
            <w:pPr>
              <w:ind w:firstLineChars="100" w:firstLine="180"/>
              <w:rPr>
                <w:sz w:val="18"/>
                <w:szCs w:val="18"/>
              </w:rPr>
            </w:pPr>
            <w:r w:rsidRPr="00EA075F">
              <w:rPr>
                <w:sz w:val="18"/>
                <w:szCs w:val="18"/>
              </w:rPr>
              <w:t>Prijenos depozita u narednu godinu</w:t>
            </w:r>
          </w:p>
        </w:tc>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-6.946.308.718</w:t>
            </w:r>
          </w:p>
        </w:tc>
        <w:tc>
          <w:tcPr>
            <w:tcW w:w="1401" w:type="dxa"/>
            <w:tcBorders>
              <w:top w:val="nil"/>
              <w:left w:val="nil"/>
              <w:bottom w:val="single" w:sz="4" w:space="0" w:color="auto"/>
              <w:right w:val="single" w:sz="4" w:space="0" w:color="auto"/>
            </w:tcBorders>
            <w:shd w:val="clear" w:color="auto" w:fill="auto"/>
            <w:noWrap/>
            <w:vAlign w:val="center"/>
            <w:hideMark/>
          </w:tcPr>
          <w:p w:rsidR="00641296" w:rsidRPr="003500EF" w:rsidRDefault="00641296" w:rsidP="00BF25F0">
            <w:pPr>
              <w:jc w:val="right"/>
              <w:rPr>
                <w:sz w:val="18"/>
                <w:szCs w:val="18"/>
              </w:rPr>
            </w:pPr>
            <w:r>
              <w:rPr>
                <w:sz w:val="18"/>
                <w:szCs w:val="18"/>
              </w:rPr>
              <w:t>-</w:t>
            </w:r>
            <w:r w:rsidRPr="003500EF">
              <w:rPr>
                <w:sz w:val="18"/>
                <w:szCs w:val="18"/>
              </w:rPr>
              <w:t>7.763.504.633</w:t>
            </w:r>
          </w:p>
        </w:tc>
        <w:tc>
          <w:tcPr>
            <w:tcW w:w="1016" w:type="dxa"/>
            <w:tcBorders>
              <w:top w:val="nil"/>
              <w:left w:val="nil"/>
              <w:bottom w:val="single" w:sz="4" w:space="0" w:color="auto"/>
              <w:right w:val="single" w:sz="4" w:space="0" w:color="auto"/>
            </w:tcBorders>
            <w:shd w:val="clear" w:color="auto" w:fill="auto"/>
            <w:noWrap/>
            <w:vAlign w:val="center"/>
            <w:hideMark/>
          </w:tcPr>
          <w:p w:rsidR="00641296" w:rsidRPr="00EA075F" w:rsidRDefault="00641296" w:rsidP="00BF25F0">
            <w:pPr>
              <w:jc w:val="center"/>
              <w:rPr>
                <w:sz w:val="18"/>
                <w:szCs w:val="18"/>
              </w:rPr>
            </w:pPr>
            <w:r w:rsidRPr="00EA075F">
              <w:rPr>
                <w:sz w:val="18"/>
                <w:szCs w:val="18"/>
              </w:rPr>
              <w:t>111,8</w:t>
            </w:r>
          </w:p>
        </w:tc>
      </w:tr>
      <w:tr w:rsidR="00641296" w:rsidRPr="00EA075F" w:rsidTr="00206BED">
        <w:trPr>
          <w:trHeight w:val="258"/>
        </w:trPr>
        <w:tc>
          <w:tcPr>
            <w:tcW w:w="5357" w:type="dxa"/>
            <w:tcBorders>
              <w:top w:val="nil"/>
              <w:left w:val="single" w:sz="4" w:space="0" w:color="auto"/>
              <w:bottom w:val="single" w:sz="4" w:space="0" w:color="auto"/>
              <w:right w:val="nil"/>
            </w:tcBorders>
            <w:shd w:val="clear" w:color="auto" w:fill="auto"/>
            <w:noWrap/>
            <w:vAlign w:val="center"/>
            <w:hideMark/>
          </w:tcPr>
          <w:p w:rsidR="00641296" w:rsidRPr="00EA075F" w:rsidRDefault="00641296" w:rsidP="00BF25F0">
            <w:pPr>
              <w:rPr>
                <w:b/>
                <w:bCs/>
                <w:sz w:val="18"/>
                <w:szCs w:val="18"/>
              </w:rPr>
            </w:pPr>
            <w:r w:rsidRPr="00EA075F">
              <w:rPr>
                <w:b/>
                <w:bCs/>
                <w:sz w:val="18"/>
                <w:szCs w:val="18"/>
              </w:rPr>
              <w:t>PRIMICI OD FINANCIJSKE IMOVINE I ZADUŽIVANJA</w:t>
            </w:r>
          </w:p>
        </w:tc>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641296" w:rsidRPr="00EA075F" w:rsidRDefault="00641296" w:rsidP="00BF25F0">
            <w:pPr>
              <w:jc w:val="right"/>
              <w:rPr>
                <w:b/>
                <w:bCs/>
                <w:sz w:val="18"/>
                <w:szCs w:val="18"/>
              </w:rPr>
            </w:pPr>
            <w:r w:rsidRPr="00EA075F">
              <w:rPr>
                <w:b/>
                <w:bCs/>
                <w:sz w:val="18"/>
                <w:szCs w:val="18"/>
              </w:rPr>
              <w:t>36.499.299.312</w:t>
            </w:r>
          </w:p>
        </w:tc>
        <w:tc>
          <w:tcPr>
            <w:tcW w:w="1401" w:type="dxa"/>
            <w:tcBorders>
              <w:top w:val="nil"/>
              <w:left w:val="nil"/>
              <w:bottom w:val="single" w:sz="4" w:space="0" w:color="auto"/>
              <w:right w:val="single" w:sz="4" w:space="0" w:color="auto"/>
            </w:tcBorders>
            <w:shd w:val="clear" w:color="auto" w:fill="auto"/>
            <w:noWrap/>
            <w:vAlign w:val="center"/>
            <w:hideMark/>
          </w:tcPr>
          <w:p w:rsidR="00641296" w:rsidRPr="00EA075F" w:rsidRDefault="00641296" w:rsidP="00BF25F0">
            <w:pPr>
              <w:jc w:val="right"/>
              <w:rPr>
                <w:b/>
                <w:bCs/>
                <w:sz w:val="18"/>
                <w:szCs w:val="18"/>
              </w:rPr>
            </w:pPr>
            <w:r w:rsidRPr="00EA075F">
              <w:rPr>
                <w:b/>
                <w:bCs/>
                <w:sz w:val="18"/>
                <w:szCs w:val="18"/>
              </w:rPr>
              <w:t>35.446.845.392</w:t>
            </w:r>
          </w:p>
        </w:tc>
        <w:tc>
          <w:tcPr>
            <w:tcW w:w="1016" w:type="dxa"/>
            <w:tcBorders>
              <w:top w:val="nil"/>
              <w:left w:val="nil"/>
              <w:bottom w:val="single" w:sz="4" w:space="0" w:color="auto"/>
              <w:right w:val="single" w:sz="4" w:space="0" w:color="auto"/>
            </w:tcBorders>
            <w:shd w:val="clear" w:color="auto" w:fill="auto"/>
            <w:noWrap/>
            <w:vAlign w:val="center"/>
            <w:hideMark/>
          </w:tcPr>
          <w:p w:rsidR="00641296" w:rsidRPr="00EA075F" w:rsidRDefault="00641296" w:rsidP="00BF25F0">
            <w:pPr>
              <w:jc w:val="center"/>
              <w:rPr>
                <w:b/>
                <w:bCs/>
                <w:sz w:val="18"/>
                <w:szCs w:val="18"/>
              </w:rPr>
            </w:pPr>
            <w:r w:rsidRPr="00EA075F">
              <w:rPr>
                <w:b/>
                <w:bCs/>
                <w:sz w:val="18"/>
                <w:szCs w:val="18"/>
              </w:rPr>
              <w:t>97,1</w:t>
            </w:r>
          </w:p>
        </w:tc>
      </w:tr>
      <w:tr w:rsidR="00641296" w:rsidRPr="00EA075F" w:rsidTr="00206BED">
        <w:trPr>
          <w:trHeight w:val="258"/>
        </w:trPr>
        <w:tc>
          <w:tcPr>
            <w:tcW w:w="5357" w:type="dxa"/>
            <w:tcBorders>
              <w:top w:val="nil"/>
              <w:left w:val="single" w:sz="4" w:space="0" w:color="auto"/>
              <w:bottom w:val="nil"/>
              <w:right w:val="nil"/>
            </w:tcBorders>
            <w:shd w:val="clear" w:color="auto" w:fill="auto"/>
            <w:noWrap/>
            <w:vAlign w:val="center"/>
            <w:hideMark/>
          </w:tcPr>
          <w:p w:rsidR="00641296" w:rsidRPr="00EA075F" w:rsidRDefault="00641296" w:rsidP="00BF25F0">
            <w:pPr>
              <w:rPr>
                <w:sz w:val="18"/>
                <w:szCs w:val="18"/>
              </w:rPr>
            </w:pPr>
            <w:r w:rsidRPr="00EA075F">
              <w:rPr>
                <w:sz w:val="18"/>
                <w:szCs w:val="18"/>
              </w:rPr>
              <w:t>PRIMLJENI POVRATI GLAVNICA DANIH ZAJMOVA I DEPOZITA</w:t>
            </w:r>
          </w:p>
        </w:tc>
        <w:tc>
          <w:tcPr>
            <w:tcW w:w="1401" w:type="dxa"/>
            <w:tcBorders>
              <w:top w:val="nil"/>
              <w:left w:val="single" w:sz="4" w:space="0" w:color="auto"/>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393.419.658</w:t>
            </w:r>
          </w:p>
        </w:tc>
        <w:tc>
          <w:tcPr>
            <w:tcW w:w="1401"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839.804.878</w:t>
            </w:r>
          </w:p>
        </w:tc>
        <w:tc>
          <w:tcPr>
            <w:tcW w:w="1016"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center"/>
              <w:rPr>
                <w:sz w:val="18"/>
                <w:szCs w:val="18"/>
              </w:rPr>
            </w:pPr>
            <w:r w:rsidRPr="00EA075F">
              <w:rPr>
                <w:sz w:val="18"/>
                <w:szCs w:val="18"/>
              </w:rPr>
              <w:t>213,5</w:t>
            </w:r>
          </w:p>
        </w:tc>
      </w:tr>
      <w:tr w:rsidR="00641296" w:rsidRPr="00EA075F" w:rsidTr="00206BED">
        <w:trPr>
          <w:trHeight w:val="258"/>
        </w:trPr>
        <w:tc>
          <w:tcPr>
            <w:tcW w:w="5357" w:type="dxa"/>
            <w:tcBorders>
              <w:top w:val="nil"/>
              <w:left w:val="single" w:sz="4" w:space="0" w:color="auto"/>
              <w:bottom w:val="nil"/>
              <w:right w:val="nil"/>
            </w:tcBorders>
            <w:shd w:val="clear" w:color="auto" w:fill="auto"/>
            <w:noWrap/>
            <w:vAlign w:val="center"/>
            <w:hideMark/>
          </w:tcPr>
          <w:p w:rsidR="00641296" w:rsidRPr="00EA075F" w:rsidRDefault="00641296" w:rsidP="00BF25F0">
            <w:pPr>
              <w:rPr>
                <w:sz w:val="18"/>
                <w:szCs w:val="18"/>
              </w:rPr>
            </w:pPr>
            <w:r w:rsidRPr="00EA075F">
              <w:rPr>
                <w:sz w:val="18"/>
                <w:szCs w:val="18"/>
              </w:rPr>
              <w:t>PRIMICI OD IZDANIH VRIJEDNOSNIH PAPIRA</w:t>
            </w:r>
          </w:p>
        </w:tc>
        <w:tc>
          <w:tcPr>
            <w:tcW w:w="1401" w:type="dxa"/>
            <w:tcBorders>
              <w:top w:val="nil"/>
              <w:left w:val="single" w:sz="4" w:space="0" w:color="auto"/>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29.809.040.000</w:t>
            </w:r>
          </w:p>
        </w:tc>
        <w:tc>
          <w:tcPr>
            <w:tcW w:w="1401"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30.806.039.000</w:t>
            </w:r>
          </w:p>
        </w:tc>
        <w:tc>
          <w:tcPr>
            <w:tcW w:w="1016"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center"/>
              <w:rPr>
                <w:sz w:val="18"/>
                <w:szCs w:val="18"/>
              </w:rPr>
            </w:pPr>
            <w:r w:rsidRPr="00EA075F">
              <w:rPr>
                <w:sz w:val="18"/>
                <w:szCs w:val="18"/>
              </w:rPr>
              <w:t>103,3</w:t>
            </w:r>
          </w:p>
        </w:tc>
      </w:tr>
      <w:tr w:rsidR="00641296" w:rsidRPr="00EA075F" w:rsidTr="00206BED">
        <w:trPr>
          <w:trHeight w:val="258"/>
        </w:trPr>
        <w:tc>
          <w:tcPr>
            <w:tcW w:w="5357" w:type="dxa"/>
            <w:tcBorders>
              <w:top w:val="nil"/>
              <w:left w:val="single" w:sz="4" w:space="0" w:color="auto"/>
              <w:bottom w:val="nil"/>
              <w:right w:val="nil"/>
            </w:tcBorders>
            <w:shd w:val="clear" w:color="auto" w:fill="auto"/>
            <w:noWrap/>
            <w:vAlign w:val="center"/>
            <w:hideMark/>
          </w:tcPr>
          <w:p w:rsidR="00641296" w:rsidRPr="00EA075F" w:rsidRDefault="00641296" w:rsidP="00BF25F0">
            <w:pPr>
              <w:ind w:firstLineChars="200" w:firstLine="360"/>
              <w:rPr>
                <w:sz w:val="18"/>
                <w:szCs w:val="18"/>
              </w:rPr>
            </w:pPr>
            <w:r w:rsidRPr="00EA075F">
              <w:rPr>
                <w:sz w:val="18"/>
                <w:szCs w:val="18"/>
              </w:rPr>
              <w:t>Trezorski zapisi (neto)</w:t>
            </w:r>
          </w:p>
        </w:tc>
        <w:tc>
          <w:tcPr>
            <w:tcW w:w="1401" w:type="dxa"/>
            <w:tcBorders>
              <w:top w:val="nil"/>
              <w:left w:val="single" w:sz="4" w:space="0" w:color="auto"/>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0</w:t>
            </w:r>
          </w:p>
        </w:tc>
        <w:tc>
          <w:tcPr>
            <w:tcW w:w="1401"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Pr>
                <w:sz w:val="18"/>
                <w:szCs w:val="18"/>
              </w:rPr>
              <w:t>0</w:t>
            </w:r>
            <w:r w:rsidRPr="00EA075F">
              <w:rPr>
                <w:sz w:val="18"/>
                <w:szCs w:val="18"/>
              </w:rPr>
              <w:t> </w:t>
            </w:r>
          </w:p>
        </w:tc>
        <w:tc>
          <w:tcPr>
            <w:tcW w:w="1016"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center"/>
              <w:rPr>
                <w:sz w:val="18"/>
                <w:szCs w:val="18"/>
              </w:rPr>
            </w:pPr>
            <w:r w:rsidRPr="00EA075F">
              <w:rPr>
                <w:sz w:val="18"/>
                <w:szCs w:val="18"/>
              </w:rPr>
              <w:t> </w:t>
            </w:r>
          </w:p>
        </w:tc>
      </w:tr>
      <w:tr w:rsidR="00641296" w:rsidRPr="00EA075F" w:rsidTr="00206BED">
        <w:trPr>
          <w:trHeight w:val="258"/>
        </w:trPr>
        <w:tc>
          <w:tcPr>
            <w:tcW w:w="5357" w:type="dxa"/>
            <w:tcBorders>
              <w:top w:val="nil"/>
              <w:left w:val="single" w:sz="4" w:space="0" w:color="auto"/>
              <w:bottom w:val="nil"/>
              <w:right w:val="nil"/>
            </w:tcBorders>
            <w:shd w:val="clear" w:color="auto" w:fill="auto"/>
            <w:noWrap/>
            <w:vAlign w:val="center"/>
            <w:hideMark/>
          </w:tcPr>
          <w:p w:rsidR="00641296" w:rsidRPr="00EA075F" w:rsidRDefault="00641296" w:rsidP="00BF25F0">
            <w:pPr>
              <w:ind w:firstLineChars="200" w:firstLine="360"/>
              <w:rPr>
                <w:sz w:val="18"/>
                <w:szCs w:val="18"/>
              </w:rPr>
            </w:pPr>
            <w:r w:rsidRPr="00EA075F">
              <w:rPr>
                <w:sz w:val="18"/>
                <w:szCs w:val="18"/>
              </w:rPr>
              <w:t>Obveznice</w:t>
            </w:r>
          </w:p>
        </w:tc>
        <w:tc>
          <w:tcPr>
            <w:tcW w:w="1401" w:type="dxa"/>
            <w:tcBorders>
              <w:top w:val="nil"/>
              <w:left w:val="single" w:sz="4" w:space="0" w:color="auto"/>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29.809.040.000</w:t>
            </w:r>
          </w:p>
        </w:tc>
        <w:tc>
          <w:tcPr>
            <w:tcW w:w="1401"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30.806.039.000</w:t>
            </w:r>
          </w:p>
        </w:tc>
        <w:tc>
          <w:tcPr>
            <w:tcW w:w="1016"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center"/>
              <w:rPr>
                <w:sz w:val="18"/>
                <w:szCs w:val="18"/>
              </w:rPr>
            </w:pPr>
            <w:r w:rsidRPr="00EA075F">
              <w:rPr>
                <w:sz w:val="18"/>
                <w:szCs w:val="18"/>
              </w:rPr>
              <w:t>103,3</w:t>
            </w:r>
          </w:p>
        </w:tc>
      </w:tr>
      <w:tr w:rsidR="00641296" w:rsidRPr="00EA075F" w:rsidTr="00206BED">
        <w:trPr>
          <w:trHeight w:val="258"/>
        </w:trPr>
        <w:tc>
          <w:tcPr>
            <w:tcW w:w="5357" w:type="dxa"/>
            <w:tcBorders>
              <w:top w:val="nil"/>
              <w:left w:val="single" w:sz="4" w:space="0" w:color="auto"/>
              <w:bottom w:val="nil"/>
              <w:right w:val="nil"/>
            </w:tcBorders>
            <w:shd w:val="clear" w:color="auto" w:fill="auto"/>
            <w:noWrap/>
            <w:vAlign w:val="center"/>
            <w:hideMark/>
          </w:tcPr>
          <w:p w:rsidR="00641296" w:rsidRPr="00EA075F" w:rsidRDefault="00641296" w:rsidP="00BF25F0">
            <w:pPr>
              <w:rPr>
                <w:sz w:val="18"/>
                <w:szCs w:val="18"/>
              </w:rPr>
            </w:pPr>
            <w:r w:rsidRPr="00EA075F">
              <w:rPr>
                <w:sz w:val="18"/>
                <w:szCs w:val="18"/>
              </w:rPr>
              <w:t>PRIMICI OD PRODAJE DIONICA I UDJELA U GLAVNICI</w:t>
            </w:r>
          </w:p>
        </w:tc>
        <w:tc>
          <w:tcPr>
            <w:tcW w:w="1401" w:type="dxa"/>
            <w:tcBorders>
              <w:top w:val="nil"/>
              <w:left w:val="single" w:sz="4" w:space="0" w:color="auto"/>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501.250.000</w:t>
            </w:r>
          </w:p>
        </w:tc>
        <w:tc>
          <w:tcPr>
            <w:tcW w:w="1401"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282.176.230</w:t>
            </w:r>
          </w:p>
        </w:tc>
        <w:tc>
          <w:tcPr>
            <w:tcW w:w="1016"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center"/>
              <w:rPr>
                <w:sz w:val="18"/>
                <w:szCs w:val="18"/>
              </w:rPr>
            </w:pPr>
            <w:r w:rsidRPr="00EA075F">
              <w:rPr>
                <w:sz w:val="18"/>
                <w:szCs w:val="18"/>
              </w:rPr>
              <w:t>56,3</w:t>
            </w:r>
          </w:p>
        </w:tc>
      </w:tr>
      <w:tr w:rsidR="00641296" w:rsidRPr="00EA075F" w:rsidTr="00206BED">
        <w:trPr>
          <w:trHeight w:val="258"/>
        </w:trPr>
        <w:tc>
          <w:tcPr>
            <w:tcW w:w="5357" w:type="dxa"/>
            <w:tcBorders>
              <w:top w:val="nil"/>
              <w:left w:val="single" w:sz="4" w:space="0" w:color="auto"/>
              <w:bottom w:val="nil"/>
              <w:right w:val="nil"/>
            </w:tcBorders>
            <w:shd w:val="clear" w:color="auto" w:fill="auto"/>
            <w:noWrap/>
            <w:vAlign w:val="center"/>
            <w:hideMark/>
          </w:tcPr>
          <w:p w:rsidR="00641296" w:rsidRPr="00EA075F" w:rsidRDefault="00641296" w:rsidP="00BF25F0">
            <w:pPr>
              <w:rPr>
                <w:sz w:val="18"/>
                <w:szCs w:val="18"/>
              </w:rPr>
            </w:pPr>
            <w:r w:rsidRPr="00EA075F">
              <w:rPr>
                <w:sz w:val="18"/>
                <w:szCs w:val="18"/>
              </w:rPr>
              <w:t>PRIMICI OD ZADUŽIVANJA</w:t>
            </w:r>
          </w:p>
        </w:tc>
        <w:tc>
          <w:tcPr>
            <w:tcW w:w="1401" w:type="dxa"/>
            <w:tcBorders>
              <w:top w:val="nil"/>
              <w:left w:val="single" w:sz="4" w:space="0" w:color="auto"/>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5.795.589.654</w:t>
            </w:r>
          </w:p>
        </w:tc>
        <w:tc>
          <w:tcPr>
            <w:tcW w:w="1401"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3.518.825.284</w:t>
            </w:r>
          </w:p>
        </w:tc>
        <w:tc>
          <w:tcPr>
            <w:tcW w:w="1016"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center"/>
              <w:rPr>
                <w:sz w:val="18"/>
                <w:szCs w:val="18"/>
              </w:rPr>
            </w:pPr>
            <w:r w:rsidRPr="00EA075F">
              <w:rPr>
                <w:sz w:val="18"/>
                <w:szCs w:val="18"/>
              </w:rPr>
              <w:t>60,7</w:t>
            </w:r>
          </w:p>
        </w:tc>
      </w:tr>
      <w:tr w:rsidR="00641296" w:rsidRPr="00EA075F" w:rsidTr="00206BED">
        <w:trPr>
          <w:trHeight w:val="470"/>
        </w:trPr>
        <w:tc>
          <w:tcPr>
            <w:tcW w:w="5357" w:type="dxa"/>
            <w:tcBorders>
              <w:top w:val="nil"/>
              <w:left w:val="single" w:sz="4" w:space="0" w:color="auto"/>
              <w:bottom w:val="nil"/>
              <w:right w:val="nil"/>
            </w:tcBorders>
            <w:shd w:val="clear" w:color="auto" w:fill="auto"/>
            <w:vAlign w:val="center"/>
            <w:hideMark/>
          </w:tcPr>
          <w:p w:rsidR="00641296" w:rsidRPr="00EA075F" w:rsidRDefault="00641296" w:rsidP="00BF25F0">
            <w:pPr>
              <w:ind w:firstLineChars="200" w:firstLine="360"/>
              <w:rPr>
                <w:sz w:val="18"/>
                <w:szCs w:val="18"/>
              </w:rPr>
            </w:pPr>
            <w:r w:rsidRPr="00EA075F">
              <w:rPr>
                <w:sz w:val="18"/>
                <w:szCs w:val="18"/>
              </w:rPr>
              <w:t>Primljeni krediti i zajmovi od međunarodnih organizacija, institucija i tijela EU te inozemnih vlada</w:t>
            </w:r>
          </w:p>
        </w:tc>
        <w:tc>
          <w:tcPr>
            <w:tcW w:w="1401" w:type="dxa"/>
            <w:tcBorders>
              <w:top w:val="nil"/>
              <w:left w:val="single" w:sz="4" w:space="0" w:color="auto"/>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245.589.654</w:t>
            </w:r>
          </w:p>
        </w:tc>
        <w:tc>
          <w:tcPr>
            <w:tcW w:w="1401"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118.553.585</w:t>
            </w:r>
          </w:p>
        </w:tc>
        <w:tc>
          <w:tcPr>
            <w:tcW w:w="1016"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center"/>
              <w:rPr>
                <w:sz w:val="18"/>
                <w:szCs w:val="18"/>
              </w:rPr>
            </w:pPr>
            <w:r w:rsidRPr="00EA075F">
              <w:rPr>
                <w:sz w:val="18"/>
                <w:szCs w:val="18"/>
              </w:rPr>
              <w:t>48,3</w:t>
            </w:r>
          </w:p>
        </w:tc>
      </w:tr>
      <w:tr w:rsidR="00641296" w:rsidRPr="00EA075F" w:rsidTr="00206BED">
        <w:trPr>
          <w:trHeight w:val="258"/>
        </w:trPr>
        <w:tc>
          <w:tcPr>
            <w:tcW w:w="5357" w:type="dxa"/>
            <w:tcBorders>
              <w:top w:val="nil"/>
              <w:left w:val="single" w:sz="4" w:space="0" w:color="auto"/>
              <w:bottom w:val="nil"/>
              <w:right w:val="nil"/>
            </w:tcBorders>
            <w:shd w:val="clear" w:color="auto" w:fill="auto"/>
            <w:vAlign w:val="center"/>
            <w:hideMark/>
          </w:tcPr>
          <w:p w:rsidR="00641296" w:rsidRPr="00EA075F" w:rsidRDefault="00641296" w:rsidP="00BF25F0">
            <w:pPr>
              <w:ind w:firstLineChars="200" w:firstLine="360"/>
              <w:rPr>
                <w:sz w:val="18"/>
                <w:szCs w:val="18"/>
              </w:rPr>
            </w:pPr>
            <w:r w:rsidRPr="00EA075F">
              <w:rPr>
                <w:sz w:val="18"/>
                <w:szCs w:val="18"/>
              </w:rPr>
              <w:t>Primljeni krediti i zajmovi od kreditnih i ostalih financijskih institucija u javnom sektoru</w:t>
            </w:r>
          </w:p>
        </w:tc>
        <w:tc>
          <w:tcPr>
            <w:tcW w:w="1401" w:type="dxa"/>
            <w:tcBorders>
              <w:top w:val="nil"/>
              <w:left w:val="single" w:sz="4" w:space="0" w:color="auto"/>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935.000.000</w:t>
            </w:r>
          </w:p>
        </w:tc>
        <w:tc>
          <w:tcPr>
            <w:tcW w:w="1401" w:type="dxa"/>
            <w:tcBorders>
              <w:top w:val="nil"/>
              <w:left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954.710.979</w:t>
            </w:r>
          </w:p>
        </w:tc>
        <w:tc>
          <w:tcPr>
            <w:tcW w:w="1016" w:type="dxa"/>
            <w:tcBorders>
              <w:top w:val="nil"/>
              <w:left w:val="nil"/>
              <w:right w:val="single" w:sz="4" w:space="0" w:color="auto"/>
            </w:tcBorders>
            <w:shd w:val="clear" w:color="auto" w:fill="auto"/>
            <w:noWrap/>
            <w:vAlign w:val="center"/>
            <w:hideMark/>
          </w:tcPr>
          <w:p w:rsidR="00641296" w:rsidRPr="00EA075F" w:rsidRDefault="00641296" w:rsidP="00BF25F0">
            <w:pPr>
              <w:jc w:val="center"/>
              <w:rPr>
                <w:sz w:val="18"/>
                <w:szCs w:val="18"/>
              </w:rPr>
            </w:pPr>
            <w:r w:rsidRPr="00EA075F">
              <w:rPr>
                <w:sz w:val="18"/>
                <w:szCs w:val="18"/>
              </w:rPr>
              <w:t>102,1</w:t>
            </w:r>
          </w:p>
        </w:tc>
      </w:tr>
      <w:tr w:rsidR="00641296" w:rsidRPr="00EA075F" w:rsidTr="00206BED">
        <w:trPr>
          <w:trHeight w:val="470"/>
        </w:trPr>
        <w:tc>
          <w:tcPr>
            <w:tcW w:w="5357" w:type="dxa"/>
            <w:tcBorders>
              <w:top w:val="nil"/>
              <w:left w:val="single" w:sz="4" w:space="0" w:color="auto"/>
              <w:bottom w:val="nil"/>
              <w:right w:val="nil"/>
            </w:tcBorders>
            <w:shd w:val="clear" w:color="auto" w:fill="auto"/>
            <w:vAlign w:val="center"/>
            <w:hideMark/>
          </w:tcPr>
          <w:p w:rsidR="00641296" w:rsidRPr="00EA075F" w:rsidRDefault="00641296" w:rsidP="00BF25F0">
            <w:pPr>
              <w:ind w:firstLineChars="200" w:firstLine="360"/>
              <w:rPr>
                <w:sz w:val="18"/>
                <w:szCs w:val="18"/>
              </w:rPr>
            </w:pPr>
            <w:r w:rsidRPr="00EA075F">
              <w:rPr>
                <w:sz w:val="18"/>
                <w:szCs w:val="18"/>
              </w:rPr>
              <w:t>Primljeni krediti i zajmovi od kreditnih i ostalih financijskih institucija izvan javnog sektora</w:t>
            </w:r>
          </w:p>
        </w:tc>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4.615.000.000</w:t>
            </w:r>
          </w:p>
        </w:tc>
        <w:tc>
          <w:tcPr>
            <w:tcW w:w="1401" w:type="dxa"/>
            <w:tcBorders>
              <w:top w:val="nil"/>
              <w:left w:val="nil"/>
              <w:bottom w:val="single" w:sz="4" w:space="0" w:color="auto"/>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2.445.560.720</w:t>
            </w:r>
          </w:p>
        </w:tc>
        <w:tc>
          <w:tcPr>
            <w:tcW w:w="1016" w:type="dxa"/>
            <w:tcBorders>
              <w:top w:val="nil"/>
              <w:left w:val="nil"/>
              <w:bottom w:val="single" w:sz="4" w:space="0" w:color="auto"/>
              <w:right w:val="single" w:sz="4" w:space="0" w:color="auto"/>
            </w:tcBorders>
            <w:shd w:val="clear" w:color="auto" w:fill="auto"/>
            <w:noWrap/>
            <w:vAlign w:val="center"/>
            <w:hideMark/>
          </w:tcPr>
          <w:p w:rsidR="00641296" w:rsidRPr="00EA075F" w:rsidRDefault="00641296" w:rsidP="00BF25F0">
            <w:pPr>
              <w:jc w:val="center"/>
              <w:rPr>
                <w:sz w:val="18"/>
                <w:szCs w:val="18"/>
              </w:rPr>
            </w:pPr>
            <w:r w:rsidRPr="00EA075F">
              <w:rPr>
                <w:sz w:val="18"/>
                <w:szCs w:val="18"/>
              </w:rPr>
              <w:t>53,0</w:t>
            </w:r>
          </w:p>
        </w:tc>
      </w:tr>
      <w:tr w:rsidR="00641296" w:rsidRPr="00EA075F" w:rsidTr="00206BED">
        <w:trPr>
          <w:trHeight w:val="258"/>
        </w:trPr>
        <w:tc>
          <w:tcPr>
            <w:tcW w:w="5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296" w:rsidRPr="00EA075F" w:rsidRDefault="00641296" w:rsidP="00BF25F0">
            <w:pPr>
              <w:rPr>
                <w:b/>
                <w:bCs/>
                <w:sz w:val="18"/>
                <w:szCs w:val="18"/>
              </w:rPr>
            </w:pPr>
            <w:r w:rsidRPr="00EA075F">
              <w:rPr>
                <w:b/>
                <w:bCs/>
                <w:sz w:val="18"/>
                <w:szCs w:val="18"/>
              </w:rPr>
              <w:t>IZDACI ZA FINANCIJSKU IMOVINU I OTPLATE ZAJMOVA</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641296" w:rsidRPr="00EA075F" w:rsidRDefault="00641296" w:rsidP="00BF25F0">
            <w:pPr>
              <w:jc w:val="right"/>
              <w:rPr>
                <w:b/>
                <w:bCs/>
                <w:sz w:val="18"/>
                <w:szCs w:val="18"/>
              </w:rPr>
            </w:pPr>
            <w:r w:rsidRPr="00EA075F">
              <w:rPr>
                <w:b/>
                <w:bCs/>
                <w:sz w:val="18"/>
                <w:szCs w:val="18"/>
              </w:rPr>
              <w:t>32.882.122.680</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641296" w:rsidRPr="00EA075F" w:rsidRDefault="00641296" w:rsidP="00BF25F0">
            <w:pPr>
              <w:jc w:val="right"/>
              <w:rPr>
                <w:b/>
                <w:bCs/>
                <w:sz w:val="18"/>
                <w:szCs w:val="18"/>
              </w:rPr>
            </w:pPr>
            <w:r w:rsidRPr="00EA075F">
              <w:rPr>
                <w:b/>
                <w:bCs/>
                <w:sz w:val="18"/>
                <w:szCs w:val="18"/>
              </w:rPr>
              <w:t>30.263.357.249</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641296" w:rsidRPr="00EA075F" w:rsidRDefault="00641296" w:rsidP="00BF25F0">
            <w:pPr>
              <w:jc w:val="center"/>
              <w:rPr>
                <w:b/>
                <w:bCs/>
                <w:sz w:val="18"/>
                <w:szCs w:val="18"/>
              </w:rPr>
            </w:pPr>
            <w:r w:rsidRPr="00EA075F">
              <w:rPr>
                <w:b/>
                <w:bCs/>
                <w:sz w:val="18"/>
                <w:szCs w:val="18"/>
              </w:rPr>
              <w:t>92,0</w:t>
            </w:r>
          </w:p>
        </w:tc>
      </w:tr>
      <w:tr w:rsidR="00641296" w:rsidRPr="00EA075F" w:rsidTr="00206BED">
        <w:trPr>
          <w:trHeight w:val="258"/>
        </w:trPr>
        <w:tc>
          <w:tcPr>
            <w:tcW w:w="5357" w:type="dxa"/>
            <w:tcBorders>
              <w:top w:val="nil"/>
              <w:left w:val="single" w:sz="4" w:space="0" w:color="auto"/>
              <w:bottom w:val="nil"/>
              <w:right w:val="nil"/>
            </w:tcBorders>
            <w:shd w:val="clear" w:color="auto" w:fill="auto"/>
            <w:noWrap/>
            <w:vAlign w:val="center"/>
            <w:hideMark/>
          </w:tcPr>
          <w:p w:rsidR="00641296" w:rsidRPr="00EA075F" w:rsidRDefault="00641296" w:rsidP="00BF25F0">
            <w:pPr>
              <w:rPr>
                <w:sz w:val="18"/>
                <w:szCs w:val="18"/>
              </w:rPr>
            </w:pPr>
            <w:r w:rsidRPr="00EA075F">
              <w:rPr>
                <w:sz w:val="18"/>
                <w:szCs w:val="18"/>
              </w:rPr>
              <w:t>IZDACI ZA DANE ZAJMOVE I DEPOZITE</w:t>
            </w:r>
          </w:p>
        </w:tc>
        <w:tc>
          <w:tcPr>
            <w:tcW w:w="1401" w:type="dxa"/>
            <w:tcBorders>
              <w:top w:val="nil"/>
              <w:left w:val="single" w:sz="4" w:space="0" w:color="auto"/>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5.407.681.796</w:t>
            </w:r>
          </w:p>
        </w:tc>
        <w:tc>
          <w:tcPr>
            <w:tcW w:w="1401"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5.600.200.239</w:t>
            </w:r>
          </w:p>
        </w:tc>
        <w:tc>
          <w:tcPr>
            <w:tcW w:w="1016"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center"/>
              <w:rPr>
                <w:sz w:val="18"/>
                <w:szCs w:val="18"/>
              </w:rPr>
            </w:pPr>
            <w:r w:rsidRPr="00EA075F">
              <w:rPr>
                <w:sz w:val="18"/>
                <w:szCs w:val="18"/>
              </w:rPr>
              <w:t>103,6</w:t>
            </w:r>
          </w:p>
        </w:tc>
      </w:tr>
      <w:tr w:rsidR="00641296" w:rsidRPr="00EA075F" w:rsidTr="00206BED">
        <w:trPr>
          <w:trHeight w:val="258"/>
        </w:trPr>
        <w:tc>
          <w:tcPr>
            <w:tcW w:w="5357" w:type="dxa"/>
            <w:tcBorders>
              <w:top w:val="nil"/>
              <w:left w:val="single" w:sz="4" w:space="0" w:color="auto"/>
              <w:bottom w:val="nil"/>
              <w:right w:val="nil"/>
            </w:tcBorders>
            <w:shd w:val="clear" w:color="auto" w:fill="auto"/>
            <w:noWrap/>
            <w:vAlign w:val="center"/>
            <w:hideMark/>
          </w:tcPr>
          <w:p w:rsidR="00641296" w:rsidRPr="00EA075F" w:rsidRDefault="00641296" w:rsidP="00BF25F0">
            <w:pPr>
              <w:rPr>
                <w:sz w:val="18"/>
                <w:szCs w:val="18"/>
              </w:rPr>
            </w:pPr>
            <w:r w:rsidRPr="00EA075F">
              <w:rPr>
                <w:sz w:val="18"/>
                <w:szCs w:val="18"/>
              </w:rPr>
              <w:t>IZDACI ZA DIONICE I UDJELE U GLAVNICI</w:t>
            </w:r>
          </w:p>
        </w:tc>
        <w:tc>
          <w:tcPr>
            <w:tcW w:w="1401" w:type="dxa"/>
            <w:tcBorders>
              <w:top w:val="nil"/>
              <w:left w:val="single" w:sz="4" w:space="0" w:color="auto"/>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355.007.888</w:t>
            </w:r>
          </w:p>
        </w:tc>
        <w:tc>
          <w:tcPr>
            <w:tcW w:w="1401"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576.355.714</w:t>
            </w:r>
          </w:p>
        </w:tc>
        <w:tc>
          <w:tcPr>
            <w:tcW w:w="1016"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center"/>
              <w:rPr>
                <w:sz w:val="18"/>
                <w:szCs w:val="18"/>
              </w:rPr>
            </w:pPr>
            <w:r w:rsidRPr="00EA075F">
              <w:rPr>
                <w:sz w:val="18"/>
                <w:szCs w:val="18"/>
              </w:rPr>
              <w:t>162,4</w:t>
            </w:r>
          </w:p>
        </w:tc>
      </w:tr>
      <w:tr w:rsidR="00641296" w:rsidRPr="00EA075F" w:rsidTr="00206BED">
        <w:trPr>
          <w:trHeight w:val="258"/>
        </w:trPr>
        <w:tc>
          <w:tcPr>
            <w:tcW w:w="5357" w:type="dxa"/>
            <w:tcBorders>
              <w:top w:val="nil"/>
              <w:left w:val="single" w:sz="4" w:space="0" w:color="auto"/>
              <w:bottom w:val="nil"/>
              <w:right w:val="nil"/>
            </w:tcBorders>
            <w:shd w:val="clear" w:color="auto" w:fill="auto"/>
            <w:noWrap/>
            <w:vAlign w:val="center"/>
            <w:hideMark/>
          </w:tcPr>
          <w:p w:rsidR="00641296" w:rsidRPr="00EA075F" w:rsidRDefault="00641296" w:rsidP="00BF25F0">
            <w:pPr>
              <w:rPr>
                <w:sz w:val="18"/>
                <w:szCs w:val="18"/>
              </w:rPr>
            </w:pPr>
            <w:r w:rsidRPr="00EA075F">
              <w:rPr>
                <w:sz w:val="18"/>
                <w:szCs w:val="18"/>
              </w:rPr>
              <w:t>IZDACI ZA OTPLATU GLAVNICE PRIMLJENIH KREDITA I ZAJMOVA</w:t>
            </w:r>
          </w:p>
        </w:tc>
        <w:tc>
          <w:tcPr>
            <w:tcW w:w="1401" w:type="dxa"/>
            <w:tcBorders>
              <w:top w:val="nil"/>
              <w:left w:val="single" w:sz="4" w:space="0" w:color="auto"/>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4.526.484.853</w:t>
            </w:r>
          </w:p>
        </w:tc>
        <w:tc>
          <w:tcPr>
            <w:tcW w:w="1401"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4.528.504.911</w:t>
            </w:r>
          </w:p>
        </w:tc>
        <w:tc>
          <w:tcPr>
            <w:tcW w:w="1016"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center"/>
              <w:rPr>
                <w:sz w:val="18"/>
                <w:szCs w:val="18"/>
              </w:rPr>
            </w:pPr>
            <w:r w:rsidRPr="00EA075F">
              <w:rPr>
                <w:sz w:val="18"/>
                <w:szCs w:val="18"/>
              </w:rPr>
              <w:t>100,0</w:t>
            </w:r>
          </w:p>
        </w:tc>
      </w:tr>
      <w:tr w:rsidR="00641296" w:rsidRPr="00EA075F" w:rsidTr="00206BED">
        <w:trPr>
          <w:trHeight w:val="470"/>
        </w:trPr>
        <w:tc>
          <w:tcPr>
            <w:tcW w:w="5357" w:type="dxa"/>
            <w:tcBorders>
              <w:top w:val="nil"/>
              <w:left w:val="single" w:sz="4" w:space="0" w:color="auto"/>
              <w:bottom w:val="nil"/>
              <w:right w:val="nil"/>
            </w:tcBorders>
            <w:shd w:val="clear" w:color="auto" w:fill="auto"/>
            <w:vAlign w:val="center"/>
            <w:hideMark/>
          </w:tcPr>
          <w:p w:rsidR="00641296" w:rsidRPr="00EA075F" w:rsidRDefault="00641296" w:rsidP="00BF25F0">
            <w:pPr>
              <w:ind w:firstLineChars="200" w:firstLine="360"/>
              <w:rPr>
                <w:sz w:val="18"/>
                <w:szCs w:val="18"/>
              </w:rPr>
            </w:pPr>
            <w:r w:rsidRPr="00EA075F">
              <w:rPr>
                <w:sz w:val="18"/>
                <w:szCs w:val="18"/>
              </w:rPr>
              <w:t>Otplata glavnice primljenih kredita i zajmova od međunarodnih organizacija, institucija i tijela EU te inozemnih vlada</w:t>
            </w:r>
          </w:p>
        </w:tc>
        <w:tc>
          <w:tcPr>
            <w:tcW w:w="1401" w:type="dxa"/>
            <w:tcBorders>
              <w:top w:val="nil"/>
              <w:left w:val="single" w:sz="4" w:space="0" w:color="auto"/>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806.237.468</w:t>
            </w:r>
          </w:p>
        </w:tc>
        <w:tc>
          <w:tcPr>
            <w:tcW w:w="1401"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792.020.037</w:t>
            </w:r>
          </w:p>
        </w:tc>
        <w:tc>
          <w:tcPr>
            <w:tcW w:w="1016"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center"/>
              <w:rPr>
                <w:sz w:val="18"/>
                <w:szCs w:val="18"/>
              </w:rPr>
            </w:pPr>
            <w:r w:rsidRPr="00EA075F">
              <w:rPr>
                <w:sz w:val="18"/>
                <w:szCs w:val="18"/>
              </w:rPr>
              <w:t>98,2</w:t>
            </w:r>
          </w:p>
        </w:tc>
      </w:tr>
      <w:tr w:rsidR="00641296" w:rsidRPr="00EA075F" w:rsidTr="00206BED">
        <w:trPr>
          <w:trHeight w:val="470"/>
        </w:trPr>
        <w:tc>
          <w:tcPr>
            <w:tcW w:w="5357" w:type="dxa"/>
            <w:tcBorders>
              <w:top w:val="nil"/>
              <w:left w:val="single" w:sz="4" w:space="0" w:color="auto"/>
              <w:bottom w:val="nil"/>
              <w:right w:val="nil"/>
            </w:tcBorders>
            <w:shd w:val="clear" w:color="auto" w:fill="auto"/>
            <w:vAlign w:val="center"/>
            <w:hideMark/>
          </w:tcPr>
          <w:p w:rsidR="00641296" w:rsidRPr="00EA075F" w:rsidRDefault="00641296" w:rsidP="00BF25F0">
            <w:pPr>
              <w:ind w:firstLineChars="200" w:firstLine="360"/>
              <w:rPr>
                <w:sz w:val="18"/>
                <w:szCs w:val="18"/>
              </w:rPr>
            </w:pPr>
            <w:r w:rsidRPr="00EA075F">
              <w:rPr>
                <w:sz w:val="18"/>
                <w:szCs w:val="18"/>
              </w:rPr>
              <w:t>Otplata glavnice primljenih kredita i zajmova od kreditnih i ostalih financijskih institucija u javnom sektoru</w:t>
            </w:r>
          </w:p>
        </w:tc>
        <w:tc>
          <w:tcPr>
            <w:tcW w:w="1401" w:type="dxa"/>
            <w:tcBorders>
              <w:top w:val="nil"/>
              <w:left w:val="single" w:sz="4" w:space="0" w:color="auto"/>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419.174.406</w:t>
            </w:r>
          </w:p>
        </w:tc>
        <w:tc>
          <w:tcPr>
            <w:tcW w:w="1401"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428.951.831</w:t>
            </w:r>
          </w:p>
        </w:tc>
        <w:tc>
          <w:tcPr>
            <w:tcW w:w="1016"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center"/>
              <w:rPr>
                <w:sz w:val="18"/>
                <w:szCs w:val="18"/>
              </w:rPr>
            </w:pPr>
            <w:r w:rsidRPr="00EA075F">
              <w:rPr>
                <w:sz w:val="18"/>
                <w:szCs w:val="18"/>
              </w:rPr>
              <w:t>102,3</w:t>
            </w:r>
          </w:p>
        </w:tc>
      </w:tr>
      <w:tr w:rsidR="00641296" w:rsidRPr="00EA075F" w:rsidTr="00206BED">
        <w:trPr>
          <w:trHeight w:val="470"/>
        </w:trPr>
        <w:tc>
          <w:tcPr>
            <w:tcW w:w="5357" w:type="dxa"/>
            <w:tcBorders>
              <w:top w:val="nil"/>
              <w:left w:val="single" w:sz="4" w:space="0" w:color="auto"/>
              <w:bottom w:val="nil"/>
              <w:right w:val="nil"/>
            </w:tcBorders>
            <w:shd w:val="clear" w:color="auto" w:fill="auto"/>
            <w:vAlign w:val="center"/>
            <w:hideMark/>
          </w:tcPr>
          <w:p w:rsidR="00641296" w:rsidRPr="00EA075F" w:rsidRDefault="00641296" w:rsidP="00BF25F0">
            <w:pPr>
              <w:ind w:firstLineChars="200" w:firstLine="360"/>
              <w:rPr>
                <w:sz w:val="18"/>
                <w:szCs w:val="18"/>
              </w:rPr>
            </w:pPr>
            <w:r w:rsidRPr="00EA075F">
              <w:rPr>
                <w:sz w:val="18"/>
                <w:szCs w:val="18"/>
              </w:rPr>
              <w:t>Otplata glavnice primljenih kredita i zajmova od kreditnih i ostalih financijskih institucija izvan javnog sektora</w:t>
            </w:r>
          </w:p>
        </w:tc>
        <w:tc>
          <w:tcPr>
            <w:tcW w:w="1401" w:type="dxa"/>
            <w:tcBorders>
              <w:top w:val="nil"/>
              <w:left w:val="single" w:sz="4" w:space="0" w:color="auto"/>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3.300.935.505</w:t>
            </w:r>
          </w:p>
        </w:tc>
        <w:tc>
          <w:tcPr>
            <w:tcW w:w="1401"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3.307.306.013</w:t>
            </w:r>
          </w:p>
        </w:tc>
        <w:tc>
          <w:tcPr>
            <w:tcW w:w="1016"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center"/>
              <w:rPr>
                <w:sz w:val="18"/>
                <w:szCs w:val="18"/>
              </w:rPr>
            </w:pPr>
            <w:r w:rsidRPr="00EA075F">
              <w:rPr>
                <w:sz w:val="18"/>
                <w:szCs w:val="18"/>
              </w:rPr>
              <w:t>100,2</w:t>
            </w:r>
          </w:p>
        </w:tc>
      </w:tr>
      <w:tr w:rsidR="00641296" w:rsidRPr="00EA075F" w:rsidTr="00206BED">
        <w:trPr>
          <w:trHeight w:val="470"/>
        </w:trPr>
        <w:tc>
          <w:tcPr>
            <w:tcW w:w="5357" w:type="dxa"/>
            <w:tcBorders>
              <w:top w:val="nil"/>
              <w:left w:val="single" w:sz="4" w:space="0" w:color="auto"/>
              <w:bottom w:val="nil"/>
              <w:right w:val="nil"/>
            </w:tcBorders>
            <w:shd w:val="clear" w:color="auto" w:fill="auto"/>
            <w:vAlign w:val="center"/>
            <w:hideMark/>
          </w:tcPr>
          <w:p w:rsidR="00641296" w:rsidRPr="00EA075F" w:rsidRDefault="00641296" w:rsidP="00BF25F0">
            <w:pPr>
              <w:ind w:firstLineChars="200" w:firstLine="360"/>
              <w:rPr>
                <w:sz w:val="18"/>
                <w:szCs w:val="18"/>
              </w:rPr>
            </w:pPr>
            <w:r w:rsidRPr="00EA075F">
              <w:rPr>
                <w:sz w:val="18"/>
                <w:szCs w:val="18"/>
              </w:rPr>
              <w:t>Otplata glavnice primljenih zajmova od trgovačkih društava i obrtnika  izvan javnog sektora</w:t>
            </w:r>
          </w:p>
        </w:tc>
        <w:tc>
          <w:tcPr>
            <w:tcW w:w="1401" w:type="dxa"/>
            <w:tcBorders>
              <w:top w:val="nil"/>
              <w:left w:val="single" w:sz="4" w:space="0" w:color="auto"/>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137.474</w:t>
            </w:r>
          </w:p>
        </w:tc>
        <w:tc>
          <w:tcPr>
            <w:tcW w:w="1401"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227.030</w:t>
            </w:r>
          </w:p>
        </w:tc>
        <w:tc>
          <w:tcPr>
            <w:tcW w:w="1016"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center"/>
              <w:rPr>
                <w:sz w:val="18"/>
                <w:szCs w:val="18"/>
              </w:rPr>
            </w:pPr>
            <w:r w:rsidRPr="00EA075F">
              <w:rPr>
                <w:sz w:val="18"/>
                <w:szCs w:val="18"/>
              </w:rPr>
              <w:t>165,1</w:t>
            </w:r>
          </w:p>
        </w:tc>
      </w:tr>
      <w:tr w:rsidR="00641296" w:rsidRPr="00EA075F" w:rsidTr="00206BED">
        <w:trPr>
          <w:trHeight w:val="485"/>
        </w:trPr>
        <w:tc>
          <w:tcPr>
            <w:tcW w:w="5357" w:type="dxa"/>
            <w:tcBorders>
              <w:top w:val="nil"/>
              <w:left w:val="single" w:sz="4" w:space="0" w:color="auto"/>
              <w:bottom w:val="nil"/>
              <w:right w:val="nil"/>
            </w:tcBorders>
            <w:shd w:val="clear" w:color="auto" w:fill="auto"/>
            <w:vAlign w:val="center"/>
            <w:hideMark/>
          </w:tcPr>
          <w:p w:rsidR="00641296" w:rsidRPr="00EA075F" w:rsidRDefault="00641296" w:rsidP="00BF25F0">
            <w:pPr>
              <w:ind w:firstLineChars="200" w:firstLine="360"/>
              <w:rPr>
                <w:sz w:val="18"/>
                <w:szCs w:val="18"/>
              </w:rPr>
            </w:pPr>
            <w:r w:rsidRPr="00EA075F">
              <w:rPr>
                <w:sz w:val="18"/>
                <w:szCs w:val="18"/>
              </w:rPr>
              <w:t>Otplata glavnice primljenih zajmova od drugih razina vlasti</w:t>
            </w:r>
          </w:p>
        </w:tc>
        <w:tc>
          <w:tcPr>
            <w:tcW w:w="1401" w:type="dxa"/>
            <w:tcBorders>
              <w:top w:val="nil"/>
              <w:left w:val="single" w:sz="4" w:space="0" w:color="auto"/>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0</w:t>
            </w:r>
          </w:p>
        </w:tc>
        <w:tc>
          <w:tcPr>
            <w:tcW w:w="1401"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0</w:t>
            </w:r>
          </w:p>
        </w:tc>
        <w:tc>
          <w:tcPr>
            <w:tcW w:w="1016"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center"/>
              <w:rPr>
                <w:sz w:val="18"/>
                <w:szCs w:val="18"/>
              </w:rPr>
            </w:pPr>
            <w:r w:rsidRPr="00EA075F">
              <w:rPr>
                <w:sz w:val="18"/>
                <w:szCs w:val="18"/>
              </w:rPr>
              <w:t> </w:t>
            </w:r>
          </w:p>
        </w:tc>
      </w:tr>
      <w:tr w:rsidR="00641296" w:rsidRPr="00EA075F" w:rsidTr="00206BED">
        <w:trPr>
          <w:trHeight w:val="258"/>
        </w:trPr>
        <w:tc>
          <w:tcPr>
            <w:tcW w:w="5357" w:type="dxa"/>
            <w:tcBorders>
              <w:top w:val="nil"/>
              <w:left w:val="single" w:sz="4" w:space="0" w:color="auto"/>
              <w:bottom w:val="nil"/>
              <w:right w:val="nil"/>
            </w:tcBorders>
            <w:shd w:val="clear" w:color="auto" w:fill="auto"/>
            <w:vAlign w:val="center"/>
            <w:hideMark/>
          </w:tcPr>
          <w:p w:rsidR="00641296" w:rsidRPr="00EA075F" w:rsidRDefault="00641296" w:rsidP="00BF25F0">
            <w:pPr>
              <w:rPr>
                <w:sz w:val="18"/>
                <w:szCs w:val="18"/>
              </w:rPr>
            </w:pPr>
            <w:r w:rsidRPr="00EA075F">
              <w:rPr>
                <w:sz w:val="18"/>
                <w:szCs w:val="18"/>
              </w:rPr>
              <w:t>IZDACI ZA OTPLATU GLAVNICE ZA IZDANE VRIJEDNOSNE PAPIRE</w:t>
            </w:r>
          </w:p>
        </w:tc>
        <w:tc>
          <w:tcPr>
            <w:tcW w:w="1401" w:type="dxa"/>
            <w:tcBorders>
              <w:top w:val="nil"/>
              <w:left w:val="single" w:sz="4" w:space="0" w:color="auto"/>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22.592.948.143</w:t>
            </w:r>
          </w:p>
        </w:tc>
        <w:tc>
          <w:tcPr>
            <w:tcW w:w="1401"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19.558.296.385</w:t>
            </w:r>
          </w:p>
        </w:tc>
        <w:tc>
          <w:tcPr>
            <w:tcW w:w="1016"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center"/>
              <w:rPr>
                <w:sz w:val="18"/>
                <w:szCs w:val="18"/>
              </w:rPr>
            </w:pPr>
            <w:r w:rsidRPr="00EA075F">
              <w:rPr>
                <w:sz w:val="18"/>
                <w:szCs w:val="18"/>
              </w:rPr>
              <w:t>86,6</w:t>
            </w:r>
          </w:p>
        </w:tc>
      </w:tr>
      <w:tr w:rsidR="00641296" w:rsidRPr="00EA075F" w:rsidTr="00206BED">
        <w:trPr>
          <w:trHeight w:val="258"/>
        </w:trPr>
        <w:tc>
          <w:tcPr>
            <w:tcW w:w="5357" w:type="dxa"/>
            <w:tcBorders>
              <w:top w:val="nil"/>
              <w:left w:val="single" w:sz="4" w:space="0" w:color="auto"/>
              <w:bottom w:val="nil"/>
              <w:right w:val="nil"/>
            </w:tcBorders>
            <w:shd w:val="clear" w:color="auto" w:fill="auto"/>
            <w:vAlign w:val="center"/>
            <w:hideMark/>
          </w:tcPr>
          <w:p w:rsidR="00641296" w:rsidRPr="00EA075F" w:rsidRDefault="00641296" w:rsidP="00BF25F0">
            <w:pPr>
              <w:ind w:firstLineChars="200" w:firstLine="360"/>
              <w:rPr>
                <w:sz w:val="18"/>
                <w:szCs w:val="18"/>
              </w:rPr>
            </w:pPr>
            <w:r w:rsidRPr="00EA075F">
              <w:rPr>
                <w:sz w:val="18"/>
                <w:szCs w:val="18"/>
              </w:rPr>
              <w:t>Izdaci za otplatu glavnice za izdane trezorske zapise (neto)</w:t>
            </w:r>
          </w:p>
        </w:tc>
        <w:tc>
          <w:tcPr>
            <w:tcW w:w="1401" w:type="dxa"/>
            <w:tcBorders>
              <w:top w:val="nil"/>
              <w:left w:val="single" w:sz="4" w:space="0" w:color="auto"/>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4.442.948.143</w:t>
            </w:r>
          </w:p>
        </w:tc>
        <w:tc>
          <w:tcPr>
            <w:tcW w:w="1401"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3.839.336.970</w:t>
            </w:r>
          </w:p>
        </w:tc>
        <w:tc>
          <w:tcPr>
            <w:tcW w:w="1016" w:type="dxa"/>
            <w:tcBorders>
              <w:top w:val="nil"/>
              <w:left w:val="nil"/>
              <w:bottom w:val="nil"/>
              <w:right w:val="single" w:sz="4" w:space="0" w:color="auto"/>
            </w:tcBorders>
            <w:shd w:val="clear" w:color="auto" w:fill="auto"/>
            <w:noWrap/>
            <w:vAlign w:val="center"/>
            <w:hideMark/>
          </w:tcPr>
          <w:p w:rsidR="00641296" w:rsidRPr="00EA075F" w:rsidRDefault="00641296" w:rsidP="00BF25F0">
            <w:pPr>
              <w:jc w:val="center"/>
              <w:rPr>
                <w:sz w:val="18"/>
                <w:szCs w:val="18"/>
              </w:rPr>
            </w:pPr>
            <w:r w:rsidRPr="00EA075F">
              <w:rPr>
                <w:sz w:val="18"/>
                <w:szCs w:val="18"/>
              </w:rPr>
              <w:t>86,4</w:t>
            </w:r>
          </w:p>
        </w:tc>
      </w:tr>
      <w:tr w:rsidR="00641296" w:rsidRPr="00EA075F" w:rsidTr="00206BED">
        <w:trPr>
          <w:trHeight w:val="258"/>
        </w:trPr>
        <w:tc>
          <w:tcPr>
            <w:tcW w:w="5357" w:type="dxa"/>
            <w:tcBorders>
              <w:top w:val="nil"/>
              <w:left w:val="single" w:sz="4" w:space="0" w:color="auto"/>
              <w:bottom w:val="single" w:sz="4" w:space="0" w:color="auto"/>
              <w:right w:val="nil"/>
            </w:tcBorders>
            <w:shd w:val="clear" w:color="auto" w:fill="auto"/>
            <w:vAlign w:val="center"/>
            <w:hideMark/>
          </w:tcPr>
          <w:p w:rsidR="00641296" w:rsidRPr="00EA075F" w:rsidRDefault="00641296" w:rsidP="00BF25F0">
            <w:pPr>
              <w:ind w:firstLineChars="200" w:firstLine="360"/>
              <w:rPr>
                <w:sz w:val="18"/>
                <w:szCs w:val="18"/>
              </w:rPr>
            </w:pPr>
            <w:r w:rsidRPr="00EA075F">
              <w:rPr>
                <w:sz w:val="18"/>
                <w:szCs w:val="18"/>
              </w:rPr>
              <w:t>Izdaci za otplatu glavnice za izdane obveznice</w:t>
            </w:r>
          </w:p>
        </w:tc>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18.150.000.000</w:t>
            </w:r>
          </w:p>
        </w:tc>
        <w:tc>
          <w:tcPr>
            <w:tcW w:w="1401" w:type="dxa"/>
            <w:tcBorders>
              <w:top w:val="nil"/>
              <w:left w:val="nil"/>
              <w:bottom w:val="single" w:sz="4" w:space="0" w:color="auto"/>
              <w:right w:val="single" w:sz="4" w:space="0" w:color="auto"/>
            </w:tcBorders>
            <w:shd w:val="clear" w:color="auto" w:fill="auto"/>
            <w:noWrap/>
            <w:vAlign w:val="center"/>
            <w:hideMark/>
          </w:tcPr>
          <w:p w:rsidR="00641296" w:rsidRPr="00EA075F" w:rsidRDefault="00641296" w:rsidP="00BF25F0">
            <w:pPr>
              <w:jc w:val="right"/>
              <w:rPr>
                <w:sz w:val="18"/>
                <w:szCs w:val="18"/>
              </w:rPr>
            </w:pPr>
            <w:r w:rsidRPr="00EA075F">
              <w:rPr>
                <w:sz w:val="18"/>
                <w:szCs w:val="18"/>
              </w:rPr>
              <w:t>15.718.959.415</w:t>
            </w:r>
          </w:p>
        </w:tc>
        <w:tc>
          <w:tcPr>
            <w:tcW w:w="1016" w:type="dxa"/>
            <w:tcBorders>
              <w:top w:val="nil"/>
              <w:left w:val="nil"/>
              <w:bottom w:val="single" w:sz="4" w:space="0" w:color="auto"/>
              <w:right w:val="single" w:sz="4" w:space="0" w:color="auto"/>
            </w:tcBorders>
            <w:shd w:val="clear" w:color="auto" w:fill="auto"/>
            <w:noWrap/>
            <w:vAlign w:val="center"/>
            <w:hideMark/>
          </w:tcPr>
          <w:p w:rsidR="00641296" w:rsidRPr="00EA075F" w:rsidRDefault="00641296" w:rsidP="00BF25F0">
            <w:pPr>
              <w:jc w:val="center"/>
              <w:rPr>
                <w:sz w:val="18"/>
                <w:szCs w:val="18"/>
              </w:rPr>
            </w:pPr>
            <w:r w:rsidRPr="00EA075F">
              <w:rPr>
                <w:sz w:val="18"/>
                <w:szCs w:val="18"/>
              </w:rPr>
              <w:t>86,6</w:t>
            </w:r>
          </w:p>
        </w:tc>
      </w:tr>
    </w:tbl>
    <w:p w:rsidR="00641296" w:rsidRPr="00206BED" w:rsidRDefault="00641296" w:rsidP="00206BED">
      <w:pPr>
        <w:spacing w:line="276" w:lineRule="auto"/>
        <w:jc w:val="both"/>
        <w:rPr>
          <w:b/>
        </w:rPr>
      </w:pPr>
    </w:p>
    <w:p w:rsidR="00641296" w:rsidRPr="00206BED" w:rsidRDefault="00641296" w:rsidP="00206BED">
      <w:pPr>
        <w:pStyle w:val="Tijeloteksta-uvlaka3"/>
        <w:tabs>
          <w:tab w:val="left" w:pos="180"/>
          <w:tab w:val="left" w:pos="540"/>
        </w:tabs>
        <w:spacing w:after="0" w:line="276" w:lineRule="auto"/>
        <w:ind w:left="0"/>
        <w:jc w:val="both"/>
        <w:rPr>
          <w:sz w:val="24"/>
          <w:szCs w:val="24"/>
        </w:rPr>
      </w:pPr>
      <w:r w:rsidRPr="00206BED">
        <w:rPr>
          <w:sz w:val="24"/>
          <w:szCs w:val="24"/>
        </w:rPr>
        <w:t xml:space="preserve">Ukupni </w:t>
      </w:r>
      <w:r w:rsidRPr="00206BED">
        <w:rPr>
          <w:b/>
          <w:sz w:val="24"/>
          <w:szCs w:val="24"/>
        </w:rPr>
        <w:t>primici od financijske imovine i zaduživanja</w:t>
      </w:r>
      <w:r w:rsidRPr="00206BED">
        <w:rPr>
          <w:sz w:val="24"/>
          <w:szCs w:val="24"/>
        </w:rPr>
        <w:t xml:space="preserve"> u 2019. godini ostvareni su u iznosu od 35,4 milijarde kuna čime su financirani izdaci za financijsku imovinu i otplate zajmova. Više ostvareni primici u promatranom razdoblju prenose se u sljedeću godinu za podmirenje izdataka za financijsku imovinu i otplate zajmova koji dospijevaju u siječnju 2020. </w:t>
      </w:r>
    </w:p>
    <w:p w:rsidR="00641296" w:rsidRPr="00206BED" w:rsidRDefault="00641296" w:rsidP="00206BED">
      <w:pPr>
        <w:pStyle w:val="Tijeloteksta-uvlaka3"/>
        <w:tabs>
          <w:tab w:val="left" w:pos="180"/>
          <w:tab w:val="left" w:pos="540"/>
        </w:tabs>
        <w:spacing w:after="0" w:line="276" w:lineRule="auto"/>
        <w:ind w:left="0"/>
        <w:jc w:val="both"/>
        <w:rPr>
          <w:sz w:val="24"/>
          <w:szCs w:val="24"/>
        </w:rPr>
      </w:pPr>
    </w:p>
    <w:p w:rsidR="00641296" w:rsidRPr="00206BED" w:rsidRDefault="00641296" w:rsidP="00206BED">
      <w:pPr>
        <w:pStyle w:val="Tijeloteksta-uvlaka3"/>
        <w:tabs>
          <w:tab w:val="left" w:pos="180"/>
          <w:tab w:val="left" w:pos="540"/>
        </w:tabs>
        <w:spacing w:after="0" w:line="276" w:lineRule="auto"/>
        <w:ind w:left="0"/>
        <w:jc w:val="both"/>
        <w:rPr>
          <w:sz w:val="24"/>
          <w:szCs w:val="24"/>
        </w:rPr>
      </w:pPr>
      <w:r w:rsidRPr="00206BED">
        <w:rPr>
          <w:sz w:val="24"/>
          <w:szCs w:val="24"/>
        </w:rPr>
        <w:t xml:space="preserve">U strukturi ukupnih primitaka od financijske imovine i zaduživanja, 30,8 milijardi kuna odnosi se na </w:t>
      </w:r>
      <w:r w:rsidRPr="00206BED">
        <w:rPr>
          <w:i/>
          <w:sz w:val="24"/>
          <w:szCs w:val="24"/>
        </w:rPr>
        <w:t>primitke od izdanih vrijednosnih papira</w:t>
      </w:r>
      <w:r w:rsidRPr="00206BED">
        <w:rPr>
          <w:sz w:val="24"/>
          <w:szCs w:val="24"/>
        </w:rPr>
        <w:t xml:space="preserve">, 3,5 milijardi kuna na </w:t>
      </w:r>
      <w:r w:rsidRPr="00206BED">
        <w:rPr>
          <w:i/>
          <w:sz w:val="24"/>
          <w:szCs w:val="24"/>
        </w:rPr>
        <w:t xml:space="preserve">primitke od zaduživanja, </w:t>
      </w:r>
      <w:r w:rsidRPr="00206BED">
        <w:rPr>
          <w:sz w:val="24"/>
          <w:szCs w:val="24"/>
        </w:rPr>
        <w:t xml:space="preserve">839,8 milijuna kuna na </w:t>
      </w:r>
      <w:r w:rsidRPr="00206BED">
        <w:rPr>
          <w:i/>
          <w:sz w:val="24"/>
          <w:szCs w:val="24"/>
        </w:rPr>
        <w:t>primljene povrate glavnica danih zajmova i depozita,</w:t>
      </w:r>
      <w:r w:rsidRPr="00206BED">
        <w:rPr>
          <w:sz w:val="24"/>
          <w:szCs w:val="24"/>
        </w:rPr>
        <w:t xml:space="preserve"> i 282,2 milijuna kuna na </w:t>
      </w:r>
      <w:r w:rsidRPr="00206BED">
        <w:rPr>
          <w:i/>
          <w:sz w:val="24"/>
          <w:szCs w:val="24"/>
        </w:rPr>
        <w:t>primitke od prodaje dionica i udjela u glavnici</w:t>
      </w:r>
      <w:r w:rsidRPr="00206BED">
        <w:rPr>
          <w:sz w:val="24"/>
          <w:szCs w:val="24"/>
        </w:rPr>
        <w:t>.</w:t>
      </w:r>
    </w:p>
    <w:p w:rsidR="00641296" w:rsidRPr="00206BED" w:rsidRDefault="00641296" w:rsidP="00206BED">
      <w:pPr>
        <w:pStyle w:val="Tijeloteksta-uvlaka3"/>
        <w:tabs>
          <w:tab w:val="left" w:pos="180"/>
          <w:tab w:val="left" w:pos="540"/>
        </w:tabs>
        <w:spacing w:after="0" w:line="276" w:lineRule="auto"/>
        <w:ind w:left="0"/>
        <w:jc w:val="both"/>
        <w:rPr>
          <w:sz w:val="24"/>
          <w:szCs w:val="24"/>
        </w:rPr>
      </w:pPr>
    </w:p>
    <w:p w:rsidR="00641296" w:rsidRPr="00206BED" w:rsidRDefault="00641296" w:rsidP="00206BED">
      <w:pPr>
        <w:pStyle w:val="Tijeloteksta-uvlaka3"/>
        <w:tabs>
          <w:tab w:val="left" w:pos="180"/>
          <w:tab w:val="left" w:pos="540"/>
        </w:tabs>
        <w:spacing w:after="0" w:line="276" w:lineRule="auto"/>
        <w:ind w:left="0"/>
        <w:jc w:val="both"/>
        <w:rPr>
          <w:sz w:val="24"/>
          <w:szCs w:val="24"/>
        </w:rPr>
      </w:pPr>
      <w:r w:rsidRPr="00206BED">
        <w:rPr>
          <w:sz w:val="24"/>
          <w:szCs w:val="24"/>
        </w:rPr>
        <w:lastRenderedPageBreak/>
        <w:t>U strukturi</w:t>
      </w:r>
      <w:r w:rsidRPr="00206BED">
        <w:rPr>
          <w:b/>
          <w:i/>
          <w:sz w:val="24"/>
          <w:szCs w:val="24"/>
        </w:rPr>
        <w:t xml:space="preserve"> primljenih povrata glavnica danih zajmova i depozita </w:t>
      </w:r>
      <w:r w:rsidRPr="00206BED">
        <w:rPr>
          <w:sz w:val="24"/>
          <w:szCs w:val="24"/>
        </w:rPr>
        <w:t xml:space="preserve">ostvarenih u iznosu od 839,8 milijuna kuna, 255,6 milijuna kuna odnosi se na primitke (povrate) glavnice zajmova danih trgovačkim društvima i obrtnicima izvan javnog sektora, 236,0 milijuna kuna odnosi se na povrate zajmova danih drugim razinama vlasti, 215,1 milijun kuna na primitke od povrata depozita i </w:t>
      </w:r>
      <w:proofErr w:type="spellStart"/>
      <w:r w:rsidRPr="00206BED">
        <w:rPr>
          <w:sz w:val="24"/>
          <w:szCs w:val="24"/>
        </w:rPr>
        <w:t>jamčevnih</w:t>
      </w:r>
      <w:proofErr w:type="spellEnd"/>
      <w:r w:rsidRPr="00206BED">
        <w:rPr>
          <w:sz w:val="24"/>
          <w:szCs w:val="24"/>
        </w:rPr>
        <w:t xml:space="preserve"> pologa, dok se 131,4 milijuna kuna odnosi na primitke (povrate) glavnice zajmova danih neprofitnim organizacijama, građanima i kućanstvima, a 1,6 milijuna kuna na primitke od povrata glavnice zajmova danih trgovačkim društvima u javnom sektoru.</w:t>
      </w:r>
    </w:p>
    <w:p w:rsidR="00641296" w:rsidRPr="00206BED" w:rsidRDefault="00641296" w:rsidP="00206BED">
      <w:pPr>
        <w:pStyle w:val="Tijeloteksta-uvlaka3"/>
        <w:tabs>
          <w:tab w:val="left" w:pos="180"/>
          <w:tab w:val="left" w:pos="540"/>
        </w:tabs>
        <w:spacing w:after="0" w:line="276" w:lineRule="auto"/>
        <w:ind w:left="0"/>
        <w:jc w:val="both"/>
        <w:rPr>
          <w:sz w:val="24"/>
          <w:szCs w:val="24"/>
        </w:rPr>
      </w:pPr>
    </w:p>
    <w:p w:rsidR="00641296" w:rsidRPr="00206BED" w:rsidRDefault="00641296" w:rsidP="00206BED">
      <w:pPr>
        <w:pStyle w:val="Tijeloteksta-uvlaka3"/>
        <w:tabs>
          <w:tab w:val="left" w:pos="180"/>
          <w:tab w:val="left" w:pos="540"/>
        </w:tabs>
        <w:spacing w:after="0" w:line="276" w:lineRule="auto"/>
        <w:ind w:left="0"/>
        <w:jc w:val="both"/>
        <w:rPr>
          <w:sz w:val="24"/>
          <w:szCs w:val="24"/>
        </w:rPr>
      </w:pPr>
      <w:r w:rsidRPr="00206BED">
        <w:rPr>
          <w:sz w:val="24"/>
          <w:szCs w:val="24"/>
        </w:rPr>
        <w:t xml:space="preserve">Najznačajniji iznos od 191,0 milijun kuna u okviru primitaka (povrata) glavnice zajmova danih trgovačkim društvima i obrtnicima izvan javnog sektora odnosi se na naplatu potraživanja s osnova izdanih i protestiranih državnih jamstava. Nadalje, na podskupini povrat zajmova danih drugim razinama vlasti najznačajniji iznos od 228,6 milijuna kuna odnosi se na refundaciju sredstava Hrvatskih voda za zajmove CEB-a, EIB-a i IBRD-a za financiranje projekata vodnog gospodarstva. </w:t>
      </w:r>
    </w:p>
    <w:p w:rsidR="00641296" w:rsidRPr="00206BED" w:rsidRDefault="00641296" w:rsidP="00206BED">
      <w:pPr>
        <w:spacing w:line="276" w:lineRule="auto"/>
        <w:jc w:val="both"/>
        <w:rPr>
          <w:rFonts w:ascii="Calibri" w:hAnsi="Calibri" w:cs="Calibri"/>
          <w:sz w:val="22"/>
          <w:szCs w:val="22"/>
          <w:lang w:eastAsia="en-US"/>
        </w:rPr>
      </w:pPr>
    </w:p>
    <w:p w:rsidR="00641296" w:rsidRPr="00206BED" w:rsidRDefault="00641296" w:rsidP="00206BED">
      <w:pPr>
        <w:pStyle w:val="Tijeloteksta-uvlaka3"/>
        <w:tabs>
          <w:tab w:val="left" w:pos="180"/>
          <w:tab w:val="left" w:pos="540"/>
        </w:tabs>
        <w:spacing w:after="0" w:line="276" w:lineRule="auto"/>
        <w:ind w:left="0"/>
        <w:jc w:val="both"/>
        <w:rPr>
          <w:sz w:val="24"/>
          <w:szCs w:val="24"/>
        </w:rPr>
      </w:pPr>
      <w:r w:rsidRPr="00206BED">
        <w:rPr>
          <w:b/>
          <w:i/>
          <w:sz w:val="24"/>
          <w:szCs w:val="24"/>
        </w:rPr>
        <w:t xml:space="preserve">Primici od izdanih vrijednosnih papira </w:t>
      </w:r>
      <w:r w:rsidRPr="00206BED">
        <w:rPr>
          <w:sz w:val="24"/>
          <w:szCs w:val="24"/>
        </w:rPr>
        <w:t>ostvareni su u</w:t>
      </w:r>
      <w:r w:rsidRPr="00206BED">
        <w:rPr>
          <w:b/>
          <w:i/>
          <w:sz w:val="24"/>
          <w:szCs w:val="24"/>
        </w:rPr>
        <w:t xml:space="preserve"> </w:t>
      </w:r>
      <w:r w:rsidRPr="00206BED">
        <w:rPr>
          <w:sz w:val="24"/>
          <w:szCs w:val="24"/>
        </w:rPr>
        <w:t>iznosu od 30,8 milijardi kuna, a odnose se na obveznice izdane na domaćem i inozemnom tržištu kapitala.</w:t>
      </w:r>
    </w:p>
    <w:p w:rsidR="00641296" w:rsidRPr="00206BED" w:rsidRDefault="00641296" w:rsidP="00206BED">
      <w:pPr>
        <w:pStyle w:val="Tijeloteksta-uvlaka3"/>
        <w:tabs>
          <w:tab w:val="left" w:pos="180"/>
          <w:tab w:val="left" w:pos="540"/>
        </w:tabs>
        <w:spacing w:after="0" w:line="276" w:lineRule="auto"/>
        <w:ind w:left="0"/>
        <w:jc w:val="both"/>
        <w:rPr>
          <w:sz w:val="24"/>
          <w:szCs w:val="24"/>
        </w:rPr>
      </w:pPr>
    </w:p>
    <w:p w:rsidR="00641296" w:rsidRPr="00206BED" w:rsidRDefault="00641296" w:rsidP="00206BED">
      <w:pPr>
        <w:spacing w:line="276" w:lineRule="auto"/>
        <w:jc w:val="both"/>
      </w:pPr>
      <w:r w:rsidRPr="00206BED">
        <w:t>U veljači 2019. godine Republika Hrvatska realizirala je na domaćem tržištu kapitala obveznice u ukupnom iznosu od 8,7 milijardi kuna. Izdana je obveznica u nominalnom iznosu od 5,0 milijardi kuna, uz kamatni kupon od 2,375%, s dospijećem 2029. godine te obveznica u nominalnom iznosu od 500,0 milijuna EUR-a, uz kamatni kupon od 0,5%, s dospijećem 2022. godine. Sredstva prikupljena ovim izdanjima obveznica upotrijebljena su za refinanciranje trezorskog zapisa nominalnog iznosa 1,5 milijardi EUR-a s dospijećem u veljači 2019. godine.</w:t>
      </w:r>
    </w:p>
    <w:p w:rsidR="00641296" w:rsidRPr="00206BED" w:rsidRDefault="00641296" w:rsidP="00206BED">
      <w:pPr>
        <w:pStyle w:val="Tijeloteksta-uvlaka3"/>
        <w:tabs>
          <w:tab w:val="left" w:pos="180"/>
          <w:tab w:val="left" w:pos="540"/>
        </w:tabs>
        <w:spacing w:after="0" w:line="276" w:lineRule="auto"/>
        <w:ind w:left="0"/>
        <w:jc w:val="both"/>
        <w:rPr>
          <w:sz w:val="24"/>
          <w:szCs w:val="24"/>
        </w:rPr>
      </w:pPr>
    </w:p>
    <w:p w:rsidR="00641296" w:rsidRPr="00206BED" w:rsidRDefault="00641296" w:rsidP="00206BED">
      <w:pPr>
        <w:spacing w:line="276" w:lineRule="auto"/>
        <w:jc w:val="both"/>
      </w:pPr>
      <w:r w:rsidRPr="00206BED">
        <w:t>Nadalje, u lipnju 2019. godine Republika Hrvatska realizirala je na međunarodnom tržištu kapitala obveznicu u iznosu od 1,5 milijardi EUR-a (11,1 milijardi kuna) s dospijećem 2029. godine uz godišnju kuponsku kamatnu stopu od 1,125%. Sredstva prikupljena ovim izdanjem iskorištena su za refinanciranje obveznica izdanih u 2009. godini koje su dospjele u studenom 2019., u iznosu od 1,5 milijardi USD s kamatom od 6,75% pri čemu su ostvarene značajne uštede na kamatama.</w:t>
      </w:r>
    </w:p>
    <w:p w:rsidR="00641296" w:rsidRPr="00206BED" w:rsidRDefault="00641296" w:rsidP="00206BED">
      <w:pPr>
        <w:spacing w:line="276" w:lineRule="auto"/>
        <w:jc w:val="both"/>
      </w:pPr>
    </w:p>
    <w:p w:rsidR="00641296" w:rsidRPr="00206BED" w:rsidRDefault="00641296" w:rsidP="00206BED">
      <w:pPr>
        <w:spacing w:line="276" w:lineRule="auto"/>
        <w:jc w:val="both"/>
      </w:pPr>
      <w:r w:rsidRPr="00206BED">
        <w:t>U studenom 2019. godine na domaćem tržištu kapitala realizirane su obveznice u ukupnom iznosu od 11,0 milijardi kuna po povijesno najpovoljnijim uvjetima na domaćem tržištu kapitala. Izdana je obveznica u nominalnom iznosu od 3,5 milijardi kuna, uz kamatni kupon od 0,25%, s dospijećem u 2024. godini. Također, izdana je obveznica od 7,5 milijardi kuna, uz kamatni kupon od 1% s dospijećem u 2034. godini. Prikupljena sredstva su većim dijelom iskorištena za refinanciranje obveznice izdane u 2004. godini  u ukupnom nominalnom iznosu od 1,0 milijardu EUR-a s dospijećem u studenom 2019.</w:t>
      </w:r>
    </w:p>
    <w:p w:rsidR="00641296" w:rsidRPr="00206BED" w:rsidRDefault="00641296" w:rsidP="00206BED">
      <w:pPr>
        <w:spacing w:line="276" w:lineRule="auto"/>
        <w:jc w:val="both"/>
      </w:pPr>
    </w:p>
    <w:p w:rsidR="00641296" w:rsidRPr="00206BED" w:rsidRDefault="00641296" w:rsidP="00206BED">
      <w:pPr>
        <w:tabs>
          <w:tab w:val="left" w:pos="180"/>
          <w:tab w:val="left" w:pos="540"/>
        </w:tabs>
        <w:spacing w:line="276" w:lineRule="auto"/>
        <w:jc w:val="both"/>
      </w:pPr>
      <w:r w:rsidRPr="00206BED">
        <w:rPr>
          <w:b/>
          <w:i/>
        </w:rPr>
        <w:t>Primici od prodaje dionica i udjela u glavnici</w:t>
      </w:r>
      <w:r w:rsidRPr="00206BED">
        <w:t xml:space="preserve"> ostvareni su u iznosu od 282,2 milijuna kuna i to najvećim dijelom od prodaje dionica u vlasništvu Republike Hrvatske (234,7 milijuna kuna) i Hrvatskog zavoda za mirovinsko osiguranje (47,0 milijuna kuna). Sredstva za ove </w:t>
      </w:r>
      <w:r w:rsidRPr="00206BED">
        <w:lastRenderedPageBreak/>
        <w:t>dionice uplaćena su od strane Centra za restrukturiranje i prodaju koji temeljem Zakona o upravljanju državnom imovinom, u svojstvu zakonskog zastupnika, upravlja dionicama i udjelima čije je imatelj ili ovlaštenik Republika Hrvatska i Hrvatski zavod za mirovinsko osiguranje. Nadalje, ostvareni su i primici od prodaje dionica i udjela u glavnici Hrvatskog zavoda za zapošljavanje u iznosu od 274,3 tisuće kuna i Leksikografskog zavoda „Miroslav Krleža“ u iznosu od 253,4 tisuće kuna.</w:t>
      </w:r>
    </w:p>
    <w:p w:rsidR="00641296" w:rsidRPr="00206BED" w:rsidRDefault="00641296" w:rsidP="00206BED">
      <w:pPr>
        <w:tabs>
          <w:tab w:val="left" w:pos="180"/>
          <w:tab w:val="left" w:pos="540"/>
        </w:tabs>
        <w:spacing w:line="276" w:lineRule="auto"/>
        <w:jc w:val="both"/>
      </w:pPr>
    </w:p>
    <w:p w:rsidR="00641296" w:rsidRPr="00206BED" w:rsidRDefault="00641296" w:rsidP="00206BED">
      <w:pPr>
        <w:tabs>
          <w:tab w:val="left" w:pos="180"/>
          <w:tab w:val="left" w:pos="540"/>
        </w:tabs>
        <w:spacing w:line="276" w:lineRule="auto"/>
        <w:jc w:val="both"/>
      </w:pPr>
      <w:r w:rsidRPr="00206BED">
        <w:rPr>
          <w:b/>
          <w:i/>
        </w:rPr>
        <w:t>Primici od zaduživanja</w:t>
      </w:r>
      <w:r w:rsidRPr="00206BED">
        <w:t xml:space="preserve"> ostvareni su u iznosu od 3,5 milijardi kuna, od čega se 118,6 milijuna kuna odnosi na primljene kredite i zajmove od međunarodnih organizacija, institucija i tijela EU te inozemnih vlada, 954,7 milijuna kuna na primljene kredite i zajmove od kreditnih i ostalih financijskih institucija u javnom sektoru, a 2,4 milijarde kuna na primljene kredite i zajmove od kreditnih i ostalih financijskih institucija izvan javnog sektora. </w:t>
      </w:r>
    </w:p>
    <w:p w:rsidR="00641296" w:rsidRPr="00206BED" w:rsidRDefault="00641296" w:rsidP="00206BED">
      <w:pPr>
        <w:tabs>
          <w:tab w:val="left" w:pos="180"/>
          <w:tab w:val="left" w:pos="540"/>
        </w:tabs>
        <w:spacing w:line="276" w:lineRule="auto"/>
        <w:jc w:val="both"/>
      </w:pPr>
    </w:p>
    <w:p w:rsidR="00641296" w:rsidRPr="00206BED" w:rsidRDefault="00641296" w:rsidP="00206BED">
      <w:pPr>
        <w:tabs>
          <w:tab w:val="left" w:pos="180"/>
          <w:tab w:val="left" w:pos="540"/>
        </w:tabs>
        <w:spacing w:line="276" w:lineRule="auto"/>
        <w:jc w:val="both"/>
      </w:pPr>
      <w:r w:rsidRPr="00206BED">
        <w:t>U strukturi primljenih kredita i zajmova od međunarodnih organizacija, institucija i tijela EU te inozemnih vlada, iznos od 45,6 milijun kuna odnosi se na zajmove Svjetske banke i to za projekte modernizacije i rekonstrukcije cestovnog sektora, projekt tehnologijskog razvoja te projekt implementacije integriranog sustava zemljišne administracije. U okviru primljenih kredita i zajmova od međunarodnih organizacija, institucija i tijela EU te inozemnih vlada evidentiraju se i zajmovi Razvojne banke Vijeća Europe, a isti su u 2019. godini ostvareni u iznosu od 73,0 milijuna kuna i to za projekt zaštite od poplava.</w:t>
      </w:r>
    </w:p>
    <w:p w:rsidR="00641296" w:rsidRPr="00206BED" w:rsidRDefault="00641296" w:rsidP="00206BED">
      <w:pPr>
        <w:tabs>
          <w:tab w:val="left" w:pos="180"/>
          <w:tab w:val="left" w:pos="540"/>
        </w:tabs>
        <w:spacing w:line="276" w:lineRule="auto"/>
        <w:jc w:val="both"/>
        <w:rPr>
          <w:highlight w:val="yellow"/>
        </w:rPr>
      </w:pPr>
    </w:p>
    <w:p w:rsidR="00641296" w:rsidRPr="00206BED" w:rsidRDefault="00641296" w:rsidP="00206BED">
      <w:pPr>
        <w:tabs>
          <w:tab w:val="left" w:pos="180"/>
          <w:tab w:val="left" w:pos="540"/>
        </w:tabs>
        <w:spacing w:line="276" w:lineRule="auto"/>
        <w:jc w:val="both"/>
      </w:pPr>
      <w:r w:rsidRPr="00206BED">
        <w:t>U okviru primljenih kredita i zajmova od kreditnih i ostalih financijskih institucija u javnom sektoru najznačajniji su dugoročni kredit od Hrvatske banke za obnovu i razvitak d.d. u iznosu od 500,0 milijuna kuna iz siječnja 2019. godine s dospijećem u travnju 2020. godine te dugoročni kredit od Hrvatske poštanske banke d.d. u iznosu od 400,0 milijuna kuna iz prosinca 2019. s dospijećem u prosincu 2024.</w:t>
      </w:r>
    </w:p>
    <w:p w:rsidR="00641296" w:rsidRPr="00206BED" w:rsidRDefault="00641296" w:rsidP="00206BED">
      <w:pPr>
        <w:tabs>
          <w:tab w:val="left" w:pos="180"/>
          <w:tab w:val="left" w:pos="540"/>
        </w:tabs>
        <w:spacing w:line="276" w:lineRule="auto"/>
        <w:jc w:val="both"/>
      </w:pPr>
    </w:p>
    <w:p w:rsidR="00641296" w:rsidRPr="00206BED" w:rsidRDefault="00641296" w:rsidP="00206BED">
      <w:pPr>
        <w:tabs>
          <w:tab w:val="left" w:pos="180"/>
          <w:tab w:val="left" w:pos="540"/>
        </w:tabs>
        <w:spacing w:line="276" w:lineRule="auto"/>
        <w:jc w:val="both"/>
      </w:pPr>
      <w:r w:rsidRPr="00206BED">
        <w:t xml:space="preserve">U okviru primljenih kredita i zajmova od kreditnih i ostalih financijskih institucija izvan javnog sektora evidentirani su dugoročni krediti od tuzemnih kreditnih institucija izvan javnog sektora u ukupnom iznosu od 2,4 milijarde kuna od čega se 1,9 milijardi kuna odnosi  na dugoročni kredit od Zagrebačke banke d.d. s dospijećem u studenom 2022. godine te na dugoročni kredit od Raiffeisen Bank </w:t>
      </w:r>
      <w:proofErr w:type="spellStart"/>
      <w:r w:rsidRPr="00206BED">
        <w:t>Austria</w:t>
      </w:r>
      <w:proofErr w:type="spellEnd"/>
      <w:r w:rsidRPr="00206BED">
        <w:t xml:space="preserve"> d.d. u iznosu od EUR 80,0 milijuna s dospijećem također u studenom 2022. godine.</w:t>
      </w:r>
    </w:p>
    <w:p w:rsidR="00641296" w:rsidRPr="00206BED" w:rsidRDefault="00641296" w:rsidP="00206BED">
      <w:pPr>
        <w:tabs>
          <w:tab w:val="left" w:pos="180"/>
          <w:tab w:val="left" w:pos="540"/>
        </w:tabs>
        <w:spacing w:line="276" w:lineRule="auto"/>
        <w:jc w:val="both"/>
      </w:pPr>
    </w:p>
    <w:p w:rsidR="00641296" w:rsidRPr="00206BED" w:rsidRDefault="00641296" w:rsidP="00206BED">
      <w:pPr>
        <w:tabs>
          <w:tab w:val="left" w:pos="180"/>
          <w:tab w:val="left" w:pos="540"/>
        </w:tabs>
        <w:spacing w:line="276" w:lineRule="auto"/>
        <w:jc w:val="both"/>
      </w:pPr>
      <w:r w:rsidRPr="00206BED">
        <w:t xml:space="preserve">U 2019. godini </w:t>
      </w:r>
      <w:r w:rsidRPr="00206BED">
        <w:rPr>
          <w:b/>
        </w:rPr>
        <w:t xml:space="preserve">izdaci za financijsku imovinu i otplate zajmova </w:t>
      </w:r>
      <w:r w:rsidRPr="00206BED">
        <w:t xml:space="preserve">izvršeni su u iznosu od 30,3 milijarde kuna od čega su </w:t>
      </w:r>
      <w:r w:rsidRPr="00206BED">
        <w:rPr>
          <w:b/>
          <w:i/>
        </w:rPr>
        <w:t>izdaci za dane zajmove i depozite</w:t>
      </w:r>
      <w:r w:rsidRPr="00206BED">
        <w:t xml:space="preserve"> 5,6 milijardi kuna, </w:t>
      </w:r>
      <w:r w:rsidRPr="00206BED">
        <w:rPr>
          <w:b/>
          <w:i/>
        </w:rPr>
        <w:t>izdaci za dionice i udjele u glavnici</w:t>
      </w:r>
      <w:r w:rsidRPr="00206BED">
        <w:t xml:space="preserve"> 576,4 milijuna kuna, </w:t>
      </w:r>
      <w:r w:rsidRPr="00206BED">
        <w:rPr>
          <w:b/>
          <w:i/>
        </w:rPr>
        <w:t>izdaci za otplatu glavnice primljenih kredita i zajmova</w:t>
      </w:r>
      <w:r w:rsidRPr="00206BED">
        <w:t xml:space="preserve"> 4,5 milijardi kuna, a </w:t>
      </w:r>
      <w:r w:rsidRPr="00206BED">
        <w:rPr>
          <w:b/>
          <w:i/>
        </w:rPr>
        <w:t xml:space="preserve">izdaci za otplatu glavnice za izdane vrijednosne papire </w:t>
      </w:r>
      <w:r w:rsidRPr="00206BED">
        <w:t>19,6 milijardi kuna.</w:t>
      </w:r>
    </w:p>
    <w:p w:rsidR="00641296" w:rsidRPr="00206BED" w:rsidRDefault="00641296" w:rsidP="00206BED">
      <w:pPr>
        <w:tabs>
          <w:tab w:val="left" w:pos="180"/>
          <w:tab w:val="left" w:pos="540"/>
        </w:tabs>
        <w:spacing w:line="276" w:lineRule="auto"/>
        <w:jc w:val="both"/>
      </w:pPr>
    </w:p>
    <w:p w:rsidR="00641296" w:rsidRPr="00206BED" w:rsidRDefault="00641296" w:rsidP="00206BED">
      <w:pPr>
        <w:tabs>
          <w:tab w:val="left" w:pos="180"/>
          <w:tab w:val="left" w:pos="540"/>
        </w:tabs>
        <w:spacing w:line="276" w:lineRule="auto"/>
        <w:jc w:val="both"/>
      </w:pPr>
      <w:r w:rsidRPr="00206BED">
        <w:rPr>
          <w:b/>
          <w:i/>
        </w:rPr>
        <w:t>Izdaci za dane zajmove i depozite</w:t>
      </w:r>
      <w:r w:rsidRPr="00206BED">
        <w:t xml:space="preserve"> izvršeni su u ukupnom iznosu od 5,6 milijardi kuna, od čega se najznačajniji iznos od 2,5 milijardi kuna odnosi na izdatke za dane zajmove trgovačkim društvima u javnom sektoru. U okviru ove podskupine evidentirano je podmirenje </w:t>
      </w:r>
      <w:r w:rsidRPr="00206BED">
        <w:lastRenderedPageBreak/>
        <w:t xml:space="preserve">obveza po protestiranim državnim jamstvima od strane naručitelja i financijskih institucija za uplaćene avanse i obveze po kreditima Uljanik Grupe u iznosu od 2,0 milijarde kuna. </w:t>
      </w:r>
    </w:p>
    <w:p w:rsidR="00641296" w:rsidRPr="00206BED" w:rsidRDefault="00641296" w:rsidP="00206BED">
      <w:pPr>
        <w:tabs>
          <w:tab w:val="left" w:pos="180"/>
          <w:tab w:val="left" w:pos="540"/>
        </w:tabs>
        <w:spacing w:line="276" w:lineRule="auto"/>
        <w:jc w:val="both"/>
      </w:pPr>
      <w:r w:rsidRPr="00206BED">
        <w:t xml:space="preserve">U okviru izdataka za dane zajmove i depozite, na podskupini izdaci za depozite i </w:t>
      </w:r>
      <w:proofErr w:type="spellStart"/>
      <w:r w:rsidRPr="00206BED">
        <w:t>jamčevne</w:t>
      </w:r>
      <w:proofErr w:type="spellEnd"/>
      <w:r w:rsidRPr="00206BED">
        <w:t xml:space="preserve"> </w:t>
      </w:r>
      <w:proofErr w:type="spellStart"/>
      <w:r w:rsidRPr="00206BED">
        <w:t>pologe</w:t>
      </w:r>
      <w:proofErr w:type="spellEnd"/>
      <w:r w:rsidRPr="00206BED">
        <w:t xml:space="preserve"> evidentirani su izdaci za oročene depozite u iznosu od 2,1 milijardu kuna.</w:t>
      </w:r>
    </w:p>
    <w:p w:rsidR="00641296" w:rsidRPr="00206BED" w:rsidRDefault="00641296" w:rsidP="00206BED">
      <w:pPr>
        <w:tabs>
          <w:tab w:val="left" w:pos="180"/>
          <w:tab w:val="left" w:pos="540"/>
        </w:tabs>
        <w:spacing w:line="276" w:lineRule="auto"/>
        <w:jc w:val="both"/>
      </w:pPr>
    </w:p>
    <w:p w:rsidR="00641296" w:rsidRPr="00206BED" w:rsidRDefault="00641296" w:rsidP="00206BED">
      <w:pPr>
        <w:tabs>
          <w:tab w:val="left" w:pos="180"/>
          <w:tab w:val="left" w:pos="540"/>
        </w:tabs>
        <w:spacing w:line="276" w:lineRule="auto"/>
        <w:jc w:val="both"/>
      </w:pPr>
      <w:r w:rsidRPr="00206BED">
        <w:t>Nadalje, u okviru izdataka za dane zajmove i depozite, na podskupini izdaci za dane zajmove trgovačkim društvima i obrtnicima izvan javnog sektora, evidentiran je iznos od 837,2 milijuna kuna. Isplaćena sredstva uglavnom se odnose na financijske instrumente sufinancirane iz sredstava strukturnih i investicijskih fondova Europske unije (krediti za rast i razvoj, programi malih i mikro zajmova, programi ruralnog razvoja u sektoru gospodarstva, poduzetništva i poljoprivrede).</w:t>
      </w:r>
    </w:p>
    <w:p w:rsidR="00641296" w:rsidRPr="00206BED" w:rsidRDefault="00641296" w:rsidP="00206BED">
      <w:pPr>
        <w:pStyle w:val="Tijeloteksta-uvlaka3"/>
        <w:tabs>
          <w:tab w:val="left" w:pos="180"/>
          <w:tab w:val="left" w:pos="540"/>
        </w:tabs>
        <w:spacing w:after="0" w:line="276" w:lineRule="auto"/>
        <w:ind w:left="0"/>
        <w:jc w:val="both"/>
        <w:rPr>
          <w:sz w:val="24"/>
          <w:szCs w:val="24"/>
        </w:rPr>
      </w:pPr>
    </w:p>
    <w:p w:rsidR="00641296" w:rsidRPr="00206BED" w:rsidRDefault="00641296" w:rsidP="00206BED">
      <w:pPr>
        <w:tabs>
          <w:tab w:val="left" w:pos="180"/>
          <w:tab w:val="left" w:pos="540"/>
        </w:tabs>
        <w:spacing w:line="276" w:lineRule="auto"/>
        <w:jc w:val="both"/>
      </w:pPr>
      <w:r w:rsidRPr="00206BED">
        <w:rPr>
          <w:b/>
          <w:i/>
        </w:rPr>
        <w:t xml:space="preserve">Izdaci za dionice i udjele u glavnici </w:t>
      </w:r>
      <w:r w:rsidRPr="00206BED">
        <w:t xml:space="preserve">izvršeni su u ukupnom iznosu od 576,4 milijuna kuna. U okviru navedene skupine izdataka, iznos 259,9 milijuna kuna odnosi se na ulaganje sredstava namijenjenih za financiranje malih i srednjih poduzetnika, osiguranih iz Europskog fonda za regionalni razvoj, u ESIF Fond rizičnog kapitala. Nadalje, iznos od 243,0 milijuna kuna odnosi se na stjecanje dionica i vlasničkih udjela u stečajnim postupcima čime su namirena potraživanja za porezne prihode i potraživanja s osnova izdanih i protestiranih državnih jamstava. </w:t>
      </w:r>
    </w:p>
    <w:p w:rsidR="00641296" w:rsidRPr="00206BED" w:rsidRDefault="00641296" w:rsidP="00206BED">
      <w:pPr>
        <w:spacing w:line="276" w:lineRule="auto"/>
        <w:jc w:val="both"/>
      </w:pPr>
    </w:p>
    <w:p w:rsidR="00641296" w:rsidRPr="00206BED" w:rsidRDefault="00641296" w:rsidP="00206BED">
      <w:pPr>
        <w:tabs>
          <w:tab w:val="left" w:pos="180"/>
          <w:tab w:val="left" w:pos="540"/>
        </w:tabs>
        <w:spacing w:line="276" w:lineRule="auto"/>
        <w:jc w:val="both"/>
      </w:pPr>
      <w:r w:rsidRPr="00206BED">
        <w:rPr>
          <w:i/>
        </w:rPr>
        <w:t>I</w:t>
      </w:r>
      <w:r w:rsidRPr="00206BED">
        <w:rPr>
          <w:b/>
          <w:i/>
        </w:rPr>
        <w:t xml:space="preserve">zdaci za otplatu glavnice primljenih kredita i zajmova </w:t>
      </w:r>
      <w:r w:rsidRPr="00206BED">
        <w:t>izvršeni su u</w:t>
      </w:r>
      <w:r w:rsidRPr="00206BED">
        <w:rPr>
          <w:b/>
          <w:i/>
        </w:rPr>
        <w:t xml:space="preserve"> </w:t>
      </w:r>
      <w:r w:rsidRPr="00206BED">
        <w:t>ukupnom iznosu od 4,5 milijardi kuna, od čega se iznos od 792,0 milijuna kuna odnosi na otplatu glavnice primljenih kredita i zajmova od međunarodnih organizacija, institucija i tijela EU te inozemnih vlada, iznos od 429,0 milijuna kuna na otplatu glavnice primljenih kredita i zajmova od kreditnih i ostalih financijskih institucija u javnom sektoru, iznos od 3,</w:t>
      </w:r>
      <w:proofErr w:type="spellStart"/>
      <w:r w:rsidRPr="00206BED">
        <w:t>3</w:t>
      </w:r>
      <w:proofErr w:type="spellEnd"/>
      <w:r w:rsidRPr="00206BED">
        <w:t xml:space="preserve"> milijarde kuna na otplatu glavnice primljenih kredita i zajmova od kreditnih i ostalih financijskih institucija izvan javnog sektora, a iznos od 227,0 tisuća kuna na otplatu glavnice primljenih zajmova od trgovačkih društava i obrtnika izvan javnog sektora.</w:t>
      </w:r>
    </w:p>
    <w:p w:rsidR="00641296" w:rsidRPr="00206BED" w:rsidRDefault="00641296" w:rsidP="00206BED">
      <w:pPr>
        <w:spacing w:line="276" w:lineRule="auto"/>
        <w:jc w:val="both"/>
      </w:pPr>
    </w:p>
    <w:p w:rsidR="00641296" w:rsidRPr="00206BED" w:rsidRDefault="00641296" w:rsidP="00206BED">
      <w:pPr>
        <w:spacing w:line="276" w:lineRule="auto"/>
        <w:jc w:val="both"/>
      </w:pPr>
      <w:r w:rsidRPr="00206BED">
        <w:t>U okviru podskupine otplate glavnice primljenih kredita i zajmova od kreditnih i ostalih financijskih institucija izvan javnog sektora, iznos od 3,</w:t>
      </w:r>
      <w:proofErr w:type="spellStart"/>
      <w:r w:rsidRPr="00206BED">
        <w:t>3</w:t>
      </w:r>
      <w:proofErr w:type="spellEnd"/>
      <w:r w:rsidRPr="00206BED">
        <w:t xml:space="preserve"> milijarde kuna gotovo u cijelosti se odnosi na otplatu glavnice primljenih kredita od tuzemnih kreditnih institucija izvan javnog sektora. Na analitičkim računima otplata glavnice primljenih kredita od tuzemnih kreditnih institucija izvan javnog sektora, između ostalog, evidentirane su otplate dijela glavnice </w:t>
      </w:r>
      <w:proofErr w:type="spellStart"/>
      <w:r w:rsidRPr="00206BED">
        <w:t>sindiciranog</w:t>
      </w:r>
      <w:proofErr w:type="spellEnd"/>
      <w:r w:rsidRPr="00206BED">
        <w:t xml:space="preserve"> kredita Privredne banke Zagreb d.d. EUR 528,5 milijuna u iznosu od 1,</w:t>
      </w:r>
      <w:proofErr w:type="spellStart"/>
      <w:r w:rsidRPr="00206BED">
        <w:t>1</w:t>
      </w:r>
      <w:proofErr w:type="spellEnd"/>
      <w:r w:rsidRPr="00206BED">
        <w:t xml:space="preserve"> milijardu kuna (142,4 milijuna EUR-a), otplate dijela glavnice </w:t>
      </w:r>
      <w:proofErr w:type="spellStart"/>
      <w:r w:rsidRPr="00206BED">
        <w:t>sindiciranog</w:t>
      </w:r>
      <w:proofErr w:type="spellEnd"/>
      <w:r w:rsidRPr="00206BED">
        <w:t xml:space="preserve"> kredita Zagrebačke banke d.d.  EUR 640,0 milijuna u iznosu od 790,3 milijuna kuna (103,3 milijuna EUR-a), otplate dijela glavnice kredita Privredne banke Zagreb d.d. EUR 100 milijuna u iznosu od 370,5 milijuna kuna.</w:t>
      </w:r>
    </w:p>
    <w:p w:rsidR="00641296" w:rsidRPr="00206BED" w:rsidRDefault="00641296" w:rsidP="00206BED">
      <w:pPr>
        <w:spacing w:line="276" w:lineRule="auto"/>
        <w:jc w:val="both"/>
      </w:pPr>
    </w:p>
    <w:p w:rsidR="00641296" w:rsidRPr="00206BED" w:rsidRDefault="00641296" w:rsidP="00206BED">
      <w:pPr>
        <w:spacing w:line="276" w:lineRule="auto"/>
        <w:jc w:val="both"/>
      </w:pPr>
      <w:r w:rsidRPr="00206BED">
        <w:t xml:space="preserve">U okviru podskupine otplate glavnice primljenih kredita i zajmova od međunarodnih organizacija, institucija i tijela EU te inozemnih vlada, izvršene u iznosu od 792,0 milijuna kuna, među najznačajnijim iznosima su 70,3 milijuna kuna koji se odnosi na otplatu glavnice zajma CEB 1751 Projekt financiranja vodno komunalne infrastrukture, 66,3 milijuna kuna </w:t>
      </w:r>
      <w:r w:rsidRPr="00206BED">
        <w:lastRenderedPageBreak/>
        <w:t>koji se odnosi na otplatu glavnice zajma EIB 31176 Projekt financiranja vodno komunalne infrastrukture, nadalje 64,1 milijun kuna koji se odnosi na otplatu zajma IBRD 74530 - Projekt unutarnje vode, te 50,6 milijuna kuna koji se odnosi na otplatu zajma IBRD 73320- Projekt razvoja sustava odgoja i obrazovanja.</w:t>
      </w:r>
    </w:p>
    <w:p w:rsidR="00641296" w:rsidRPr="00206BED" w:rsidRDefault="00641296" w:rsidP="00206BED">
      <w:pPr>
        <w:spacing w:line="276" w:lineRule="auto"/>
        <w:jc w:val="both"/>
      </w:pPr>
    </w:p>
    <w:p w:rsidR="00641296" w:rsidRPr="00206BED" w:rsidRDefault="00641296" w:rsidP="00206BED">
      <w:pPr>
        <w:tabs>
          <w:tab w:val="left" w:pos="180"/>
          <w:tab w:val="left" w:pos="540"/>
        </w:tabs>
        <w:spacing w:line="276" w:lineRule="auto"/>
        <w:jc w:val="both"/>
      </w:pPr>
      <w:r w:rsidRPr="00206BED">
        <w:t>Otplata glavnice primljenih kredita i zajmova od kreditnih i ostalih financijskih institucija u javnom sektoru izvršeno je u ukupnom iznosu od 428,9 milijuna kuna. Najznačajniji iznos od 399,1 milijun kuna odnosi se na otplate dijela kreditnih obveza Hrvatskoj poštanskoj banci d.d. temeljem ugovora o dugoročnim kreditima iz ranijih razdoblja.</w:t>
      </w:r>
    </w:p>
    <w:p w:rsidR="00641296" w:rsidRPr="00206BED" w:rsidRDefault="00641296" w:rsidP="00206BED">
      <w:pPr>
        <w:spacing w:line="276" w:lineRule="auto"/>
        <w:jc w:val="both"/>
      </w:pPr>
    </w:p>
    <w:p w:rsidR="00641296" w:rsidRPr="00206BED" w:rsidRDefault="00641296" w:rsidP="00206BED">
      <w:pPr>
        <w:pStyle w:val="Tijeloteksta-uvlaka3"/>
        <w:tabs>
          <w:tab w:val="left" w:pos="180"/>
          <w:tab w:val="left" w:pos="540"/>
        </w:tabs>
        <w:spacing w:line="276" w:lineRule="auto"/>
        <w:ind w:left="0"/>
        <w:jc w:val="both"/>
        <w:rPr>
          <w:sz w:val="24"/>
          <w:szCs w:val="24"/>
        </w:rPr>
      </w:pPr>
      <w:r w:rsidRPr="00206BED">
        <w:rPr>
          <w:b/>
          <w:i/>
          <w:sz w:val="24"/>
          <w:szCs w:val="24"/>
        </w:rPr>
        <w:t>Izdaci za otplatu glavnice za izdane vrijednosne</w:t>
      </w:r>
      <w:r w:rsidRPr="00206BED">
        <w:rPr>
          <w:sz w:val="24"/>
          <w:szCs w:val="24"/>
        </w:rPr>
        <w:t xml:space="preserve"> papire evidentirani su u iznosu od 19,6 milijardi kuna, od čega se 3,8 milijardi kuna odnosi na izdatke za otplatu glavnice za izdane trezorske zapise (neto). Iznos od 15,7 milijardi kuna odnosi se na izdatke za otplatu glavnice za izdane obveznice u zemlji u iznosu od 7,4 milijarde kuna te izdatke za otplatu glavnice za izdane obveznice u inozemstvu u iznosu od 8,3 milijarde kuna.</w:t>
      </w:r>
    </w:p>
    <w:sectPr w:rsidR="00641296" w:rsidRPr="00206BED" w:rsidSect="008B4114">
      <w:footerReference w:type="default" r:id="rId22"/>
      <w:pgSz w:w="11906" w:h="16838"/>
      <w:pgMar w:top="1417" w:right="1417" w:bottom="1417" w:left="1417" w:header="708" w:footer="708" w:gutter="0"/>
      <w:pgNumType w:start="68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BA" w:rsidRDefault="008B40BA">
      <w:r>
        <w:separator/>
      </w:r>
    </w:p>
  </w:endnote>
  <w:endnote w:type="continuationSeparator" w:id="0">
    <w:p w:rsidR="008B40BA" w:rsidRDefault="008B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ife L2">
    <w:altName w:val="Times New Roman"/>
    <w:charset w:val="EE"/>
    <w:family w:val="roman"/>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981785"/>
      <w:docPartObj>
        <w:docPartGallery w:val="Page Numbers (Bottom of Page)"/>
        <w:docPartUnique/>
      </w:docPartObj>
    </w:sdtPr>
    <w:sdtEndPr/>
    <w:sdtContent>
      <w:p w:rsidR="008B4114" w:rsidRDefault="008B4114">
        <w:pPr>
          <w:pStyle w:val="Podnoje"/>
          <w:jc w:val="center"/>
        </w:pPr>
        <w:r>
          <w:fldChar w:fldCharType="begin"/>
        </w:r>
        <w:r>
          <w:instrText>PAGE   \* MERGEFORMAT</w:instrText>
        </w:r>
        <w:r>
          <w:fldChar w:fldCharType="separate"/>
        </w:r>
        <w:r w:rsidR="005704C7">
          <w:rPr>
            <w:noProof/>
          </w:rPr>
          <w:t>688</w:t>
        </w:r>
        <w:r>
          <w:fldChar w:fldCharType="end"/>
        </w:r>
      </w:p>
    </w:sdtContent>
  </w:sdt>
  <w:p w:rsidR="008B4114" w:rsidRDefault="008B411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BA" w:rsidRDefault="008B40BA">
      <w:r>
        <w:separator/>
      </w:r>
    </w:p>
  </w:footnote>
  <w:footnote w:type="continuationSeparator" w:id="0">
    <w:p w:rsidR="008B40BA" w:rsidRDefault="008B4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1398"/>
    <w:multiLevelType w:val="hybridMultilevel"/>
    <w:tmpl w:val="B442F9AE"/>
    <w:lvl w:ilvl="0" w:tplc="77E02B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5191FFE"/>
    <w:multiLevelType w:val="hybridMultilevel"/>
    <w:tmpl w:val="0E94CA98"/>
    <w:lvl w:ilvl="0" w:tplc="D088902A">
      <w:numFmt w:val="bullet"/>
      <w:lvlText w:val="-"/>
      <w:lvlJc w:val="left"/>
      <w:pPr>
        <w:ind w:left="720" w:hanging="360"/>
      </w:pPr>
      <w:rPr>
        <w:rFonts w:ascii="Times New Roman" w:eastAsia="Times New Roman" w:hAnsi="Times New Roman" w:cs="Times New Roman" w:hint="default"/>
        <w:sz w:val="23"/>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60F75CA"/>
    <w:multiLevelType w:val="hybridMultilevel"/>
    <w:tmpl w:val="3D36C156"/>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8715AD5"/>
    <w:multiLevelType w:val="hybridMultilevel"/>
    <w:tmpl w:val="BCBAD51C"/>
    <w:lvl w:ilvl="0" w:tplc="F93C03F6">
      <w:numFmt w:val="bullet"/>
      <w:lvlText w:val="-"/>
      <w:lvlJc w:val="left"/>
      <w:pPr>
        <w:ind w:left="784" w:hanging="360"/>
      </w:pPr>
      <w:rPr>
        <w:rFonts w:ascii="Times New Roman" w:eastAsia="Calibri" w:hAnsi="Times New Roman" w:cs="Times New Roman" w:hint="default"/>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4">
    <w:nsid w:val="260A0483"/>
    <w:multiLevelType w:val="multilevel"/>
    <w:tmpl w:val="0C3CA7FC"/>
    <w:lvl w:ilvl="0">
      <w:start w:val="1"/>
      <w:numFmt w:val="decimal"/>
      <w:lvlText w:val="%1."/>
      <w:lvlJc w:val="left"/>
      <w:pPr>
        <w:tabs>
          <w:tab w:val="num" w:pos="360"/>
        </w:tabs>
        <w:ind w:left="360" w:hanging="360"/>
      </w:pPr>
      <w:rPr>
        <w:rFonts w:hint="default"/>
        <w:lang w:val="hr-HR"/>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6A6696C"/>
    <w:multiLevelType w:val="hybridMultilevel"/>
    <w:tmpl w:val="10700DC2"/>
    <w:lvl w:ilvl="0" w:tplc="8C9243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DA6480F"/>
    <w:multiLevelType w:val="hybridMultilevel"/>
    <w:tmpl w:val="7B72692C"/>
    <w:lvl w:ilvl="0" w:tplc="E6B8C746">
      <w:numFmt w:val="bullet"/>
      <w:lvlText w:val="-"/>
      <w:lvlJc w:val="left"/>
      <w:pPr>
        <w:ind w:left="720" w:hanging="360"/>
      </w:pPr>
      <w:rPr>
        <w:rFonts w:ascii="Tahoma" w:eastAsia="Times New Roman" w:hAnsi="Tahoma" w:cs="Tahom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F224BAE"/>
    <w:multiLevelType w:val="hybridMultilevel"/>
    <w:tmpl w:val="18A6EA6A"/>
    <w:lvl w:ilvl="0" w:tplc="77E02B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9C6752C"/>
    <w:multiLevelType w:val="hybridMultilevel"/>
    <w:tmpl w:val="998E5336"/>
    <w:lvl w:ilvl="0" w:tplc="77E02B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BAF4C18"/>
    <w:multiLevelType w:val="hybridMultilevel"/>
    <w:tmpl w:val="E536FFC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529322C3"/>
    <w:multiLevelType w:val="hybridMultilevel"/>
    <w:tmpl w:val="B0146E86"/>
    <w:lvl w:ilvl="0" w:tplc="FEB4D8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34B3390"/>
    <w:multiLevelType w:val="hybridMultilevel"/>
    <w:tmpl w:val="C9321680"/>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4"/>
  </w:num>
  <w:num w:numId="4">
    <w:abstractNumId w:val="6"/>
  </w:num>
  <w:num w:numId="5">
    <w:abstractNumId w:val="5"/>
  </w:num>
  <w:num w:numId="6">
    <w:abstractNumId w:val="8"/>
  </w:num>
  <w:num w:numId="7">
    <w:abstractNumId w:val="1"/>
  </w:num>
  <w:num w:numId="8">
    <w:abstractNumId w:val="9"/>
  </w:num>
  <w:num w:numId="9">
    <w:abstractNumId w:val="7"/>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D8"/>
    <w:rsid w:val="00000E16"/>
    <w:rsid w:val="00002E89"/>
    <w:rsid w:val="000041A7"/>
    <w:rsid w:val="0001178C"/>
    <w:rsid w:val="00017DA9"/>
    <w:rsid w:val="000313E8"/>
    <w:rsid w:val="00043434"/>
    <w:rsid w:val="00043F68"/>
    <w:rsid w:val="000513F4"/>
    <w:rsid w:val="00054488"/>
    <w:rsid w:val="000655F5"/>
    <w:rsid w:val="00066ED5"/>
    <w:rsid w:val="00072FE2"/>
    <w:rsid w:val="00073EA2"/>
    <w:rsid w:val="000827F1"/>
    <w:rsid w:val="00082944"/>
    <w:rsid w:val="00095F74"/>
    <w:rsid w:val="000A3888"/>
    <w:rsid w:val="000A4E98"/>
    <w:rsid w:val="000B2584"/>
    <w:rsid w:val="000B333F"/>
    <w:rsid w:val="000C5504"/>
    <w:rsid w:val="000D76A0"/>
    <w:rsid w:val="000E57C6"/>
    <w:rsid w:val="000F32FD"/>
    <w:rsid w:val="000F526D"/>
    <w:rsid w:val="001014DE"/>
    <w:rsid w:val="001026F3"/>
    <w:rsid w:val="00102DD3"/>
    <w:rsid w:val="00107617"/>
    <w:rsid w:val="00107708"/>
    <w:rsid w:val="00112FBF"/>
    <w:rsid w:val="00116C67"/>
    <w:rsid w:val="00122508"/>
    <w:rsid w:val="00131838"/>
    <w:rsid w:val="001320A5"/>
    <w:rsid w:val="0013258D"/>
    <w:rsid w:val="00133060"/>
    <w:rsid w:val="00133C1F"/>
    <w:rsid w:val="00135470"/>
    <w:rsid w:val="00146093"/>
    <w:rsid w:val="00155941"/>
    <w:rsid w:val="0015699F"/>
    <w:rsid w:val="00156ECA"/>
    <w:rsid w:val="00171722"/>
    <w:rsid w:val="0019211D"/>
    <w:rsid w:val="0019388A"/>
    <w:rsid w:val="001A1B4C"/>
    <w:rsid w:val="001A2B51"/>
    <w:rsid w:val="001B224C"/>
    <w:rsid w:val="001B31FD"/>
    <w:rsid w:val="001C2A47"/>
    <w:rsid w:val="001C5685"/>
    <w:rsid w:val="001D0A6F"/>
    <w:rsid w:val="001D11C7"/>
    <w:rsid w:val="001D65FA"/>
    <w:rsid w:val="001D7FF1"/>
    <w:rsid w:val="001E0146"/>
    <w:rsid w:val="001E1F6D"/>
    <w:rsid w:val="001E38AB"/>
    <w:rsid w:val="001E5BE2"/>
    <w:rsid w:val="001F048B"/>
    <w:rsid w:val="001F2FF0"/>
    <w:rsid w:val="001F45C5"/>
    <w:rsid w:val="001F4B32"/>
    <w:rsid w:val="001F4E4E"/>
    <w:rsid w:val="00203660"/>
    <w:rsid w:val="002043FB"/>
    <w:rsid w:val="00206BED"/>
    <w:rsid w:val="002079F8"/>
    <w:rsid w:val="00213CCE"/>
    <w:rsid w:val="002149B7"/>
    <w:rsid w:val="00214A0B"/>
    <w:rsid w:val="002276EE"/>
    <w:rsid w:val="00232E58"/>
    <w:rsid w:val="00234302"/>
    <w:rsid w:val="00247319"/>
    <w:rsid w:val="00247449"/>
    <w:rsid w:val="002555FF"/>
    <w:rsid w:val="00261FCC"/>
    <w:rsid w:val="0026245E"/>
    <w:rsid w:val="002642FC"/>
    <w:rsid w:val="00265773"/>
    <w:rsid w:val="00266723"/>
    <w:rsid w:val="00272EFC"/>
    <w:rsid w:val="00273E51"/>
    <w:rsid w:val="00274522"/>
    <w:rsid w:val="00275EF4"/>
    <w:rsid w:val="00280C5F"/>
    <w:rsid w:val="002879A2"/>
    <w:rsid w:val="00290555"/>
    <w:rsid w:val="00291D8D"/>
    <w:rsid w:val="002921F0"/>
    <w:rsid w:val="00297CD5"/>
    <w:rsid w:val="002A11E9"/>
    <w:rsid w:val="002B774F"/>
    <w:rsid w:val="002C3964"/>
    <w:rsid w:val="002C5922"/>
    <w:rsid w:val="002D19C6"/>
    <w:rsid w:val="002D201B"/>
    <w:rsid w:val="002D7A1F"/>
    <w:rsid w:val="002E44D2"/>
    <w:rsid w:val="002E7171"/>
    <w:rsid w:val="002E744A"/>
    <w:rsid w:val="002F140D"/>
    <w:rsid w:val="002F1523"/>
    <w:rsid w:val="0030149E"/>
    <w:rsid w:val="003016F2"/>
    <w:rsid w:val="003026D9"/>
    <w:rsid w:val="00303623"/>
    <w:rsid w:val="00305D2F"/>
    <w:rsid w:val="003211CF"/>
    <w:rsid w:val="00330E46"/>
    <w:rsid w:val="0033135B"/>
    <w:rsid w:val="00336D09"/>
    <w:rsid w:val="0034332E"/>
    <w:rsid w:val="0034570E"/>
    <w:rsid w:val="00352053"/>
    <w:rsid w:val="00353512"/>
    <w:rsid w:val="00357228"/>
    <w:rsid w:val="00363531"/>
    <w:rsid w:val="00365E41"/>
    <w:rsid w:val="00367B42"/>
    <w:rsid w:val="00370328"/>
    <w:rsid w:val="00371C76"/>
    <w:rsid w:val="00382640"/>
    <w:rsid w:val="0038577C"/>
    <w:rsid w:val="00393AE4"/>
    <w:rsid w:val="003974FF"/>
    <w:rsid w:val="003A6D3A"/>
    <w:rsid w:val="003B13F5"/>
    <w:rsid w:val="003B78BB"/>
    <w:rsid w:val="003C5933"/>
    <w:rsid w:val="003F01E8"/>
    <w:rsid w:val="003F52CC"/>
    <w:rsid w:val="003F6650"/>
    <w:rsid w:val="00402749"/>
    <w:rsid w:val="00406013"/>
    <w:rsid w:val="00406787"/>
    <w:rsid w:val="00406CED"/>
    <w:rsid w:val="00406F34"/>
    <w:rsid w:val="00421722"/>
    <w:rsid w:val="004219FF"/>
    <w:rsid w:val="00423906"/>
    <w:rsid w:val="00423E76"/>
    <w:rsid w:val="004253F5"/>
    <w:rsid w:val="004255BA"/>
    <w:rsid w:val="00426A26"/>
    <w:rsid w:val="00430106"/>
    <w:rsid w:val="0044378E"/>
    <w:rsid w:val="00446E72"/>
    <w:rsid w:val="004570F6"/>
    <w:rsid w:val="00461514"/>
    <w:rsid w:val="00465B9C"/>
    <w:rsid w:val="00470595"/>
    <w:rsid w:val="00470CAA"/>
    <w:rsid w:val="00471C65"/>
    <w:rsid w:val="0047335A"/>
    <w:rsid w:val="00474A14"/>
    <w:rsid w:val="0047722E"/>
    <w:rsid w:val="004774B7"/>
    <w:rsid w:val="00480BB3"/>
    <w:rsid w:val="00483983"/>
    <w:rsid w:val="0049685C"/>
    <w:rsid w:val="00497463"/>
    <w:rsid w:val="00497EF3"/>
    <w:rsid w:val="004A06F8"/>
    <w:rsid w:val="004A0B32"/>
    <w:rsid w:val="004A2903"/>
    <w:rsid w:val="004A686A"/>
    <w:rsid w:val="004B00B5"/>
    <w:rsid w:val="004B6266"/>
    <w:rsid w:val="004B6F90"/>
    <w:rsid w:val="004B76F1"/>
    <w:rsid w:val="004C15F6"/>
    <w:rsid w:val="004D04F3"/>
    <w:rsid w:val="004D144A"/>
    <w:rsid w:val="004D4DE4"/>
    <w:rsid w:val="004D7435"/>
    <w:rsid w:val="004D74BF"/>
    <w:rsid w:val="004E295E"/>
    <w:rsid w:val="004E3B35"/>
    <w:rsid w:val="004E3CCF"/>
    <w:rsid w:val="004E665A"/>
    <w:rsid w:val="004F0F2A"/>
    <w:rsid w:val="004F417C"/>
    <w:rsid w:val="00500654"/>
    <w:rsid w:val="0050221B"/>
    <w:rsid w:val="00502267"/>
    <w:rsid w:val="005070B7"/>
    <w:rsid w:val="00512A27"/>
    <w:rsid w:val="00516370"/>
    <w:rsid w:val="00524304"/>
    <w:rsid w:val="005260A5"/>
    <w:rsid w:val="00530232"/>
    <w:rsid w:val="00531217"/>
    <w:rsid w:val="00534FE6"/>
    <w:rsid w:val="0054665A"/>
    <w:rsid w:val="00552159"/>
    <w:rsid w:val="0055542D"/>
    <w:rsid w:val="0056554A"/>
    <w:rsid w:val="005659AF"/>
    <w:rsid w:val="005704C7"/>
    <w:rsid w:val="00573157"/>
    <w:rsid w:val="00575D5D"/>
    <w:rsid w:val="005837DA"/>
    <w:rsid w:val="0058586C"/>
    <w:rsid w:val="005A03B4"/>
    <w:rsid w:val="005A03E7"/>
    <w:rsid w:val="005A1AC5"/>
    <w:rsid w:val="005A53D3"/>
    <w:rsid w:val="005A6440"/>
    <w:rsid w:val="005B0B7A"/>
    <w:rsid w:val="005B5981"/>
    <w:rsid w:val="005B59FA"/>
    <w:rsid w:val="005B5FAF"/>
    <w:rsid w:val="005B7C75"/>
    <w:rsid w:val="005C664B"/>
    <w:rsid w:val="005C7E87"/>
    <w:rsid w:val="005E1306"/>
    <w:rsid w:val="005E587F"/>
    <w:rsid w:val="005F0E0E"/>
    <w:rsid w:val="00601DC0"/>
    <w:rsid w:val="0061761D"/>
    <w:rsid w:val="00624527"/>
    <w:rsid w:val="0063076A"/>
    <w:rsid w:val="00633421"/>
    <w:rsid w:val="00634578"/>
    <w:rsid w:val="006351E9"/>
    <w:rsid w:val="00635758"/>
    <w:rsid w:val="00641296"/>
    <w:rsid w:val="00643B81"/>
    <w:rsid w:val="00645E8B"/>
    <w:rsid w:val="00646743"/>
    <w:rsid w:val="006554DF"/>
    <w:rsid w:val="0065645C"/>
    <w:rsid w:val="00660192"/>
    <w:rsid w:val="00662DAE"/>
    <w:rsid w:val="00667EEC"/>
    <w:rsid w:val="00676A71"/>
    <w:rsid w:val="00681367"/>
    <w:rsid w:val="006861DC"/>
    <w:rsid w:val="00686ECB"/>
    <w:rsid w:val="00691846"/>
    <w:rsid w:val="006A019D"/>
    <w:rsid w:val="006A05FE"/>
    <w:rsid w:val="006A62CE"/>
    <w:rsid w:val="006A79F3"/>
    <w:rsid w:val="006B0390"/>
    <w:rsid w:val="006B150E"/>
    <w:rsid w:val="006B6F3A"/>
    <w:rsid w:val="006B6F66"/>
    <w:rsid w:val="006C0FAA"/>
    <w:rsid w:val="006C7BEE"/>
    <w:rsid w:val="006D07E7"/>
    <w:rsid w:val="006D2009"/>
    <w:rsid w:val="006D5F89"/>
    <w:rsid w:val="006D6B7B"/>
    <w:rsid w:val="006F1141"/>
    <w:rsid w:val="006F1DB5"/>
    <w:rsid w:val="006F3A17"/>
    <w:rsid w:val="006F59E9"/>
    <w:rsid w:val="006F745D"/>
    <w:rsid w:val="00703002"/>
    <w:rsid w:val="00707306"/>
    <w:rsid w:val="007077CF"/>
    <w:rsid w:val="007151D3"/>
    <w:rsid w:val="0071550F"/>
    <w:rsid w:val="00715788"/>
    <w:rsid w:val="00717012"/>
    <w:rsid w:val="0072083B"/>
    <w:rsid w:val="0072191B"/>
    <w:rsid w:val="00723A7C"/>
    <w:rsid w:val="007240E6"/>
    <w:rsid w:val="00727752"/>
    <w:rsid w:val="00727819"/>
    <w:rsid w:val="00732FA6"/>
    <w:rsid w:val="007332B0"/>
    <w:rsid w:val="00735C67"/>
    <w:rsid w:val="00736C17"/>
    <w:rsid w:val="00736DD3"/>
    <w:rsid w:val="00747AD2"/>
    <w:rsid w:val="00751C4F"/>
    <w:rsid w:val="00754A50"/>
    <w:rsid w:val="00754CAE"/>
    <w:rsid w:val="007608C9"/>
    <w:rsid w:val="00760C01"/>
    <w:rsid w:val="00767C20"/>
    <w:rsid w:val="00785605"/>
    <w:rsid w:val="0079277E"/>
    <w:rsid w:val="007C45B1"/>
    <w:rsid w:val="007D57B3"/>
    <w:rsid w:val="007D5D70"/>
    <w:rsid w:val="007D7B49"/>
    <w:rsid w:val="007E1EC4"/>
    <w:rsid w:val="007E36E9"/>
    <w:rsid w:val="007E757E"/>
    <w:rsid w:val="007F13E2"/>
    <w:rsid w:val="007F4193"/>
    <w:rsid w:val="007F46D7"/>
    <w:rsid w:val="007F71C1"/>
    <w:rsid w:val="007F7780"/>
    <w:rsid w:val="00811092"/>
    <w:rsid w:val="00811BCC"/>
    <w:rsid w:val="00814ADE"/>
    <w:rsid w:val="008179F0"/>
    <w:rsid w:val="00820361"/>
    <w:rsid w:val="008207D9"/>
    <w:rsid w:val="0082202A"/>
    <w:rsid w:val="00831CFF"/>
    <w:rsid w:val="00843057"/>
    <w:rsid w:val="008444A2"/>
    <w:rsid w:val="00844CDB"/>
    <w:rsid w:val="00846013"/>
    <w:rsid w:val="008463CE"/>
    <w:rsid w:val="00850ECE"/>
    <w:rsid w:val="00851B90"/>
    <w:rsid w:val="00851CEB"/>
    <w:rsid w:val="00855426"/>
    <w:rsid w:val="008572A5"/>
    <w:rsid w:val="008574FE"/>
    <w:rsid w:val="00857789"/>
    <w:rsid w:val="00862373"/>
    <w:rsid w:val="008650BB"/>
    <w:rsid w:val="00867026"/>
    <w:rsid w:val="00872520"/>
    <w:rsid w:val="008822CD"/>
    <w:rsid w:val="00885046"/>
    <w:rsid w:val="008906A2"/>
    <w:rsid w:val="008949D5"/>
    <w:rsid w:val="008B0F2A"/>
    <w:rsid w:val="008B40BA"/>
    <w:rsid w:val="008B4114"/>
    <w:rsid w:val="008B5081"/>
    <w:rsid w:val="008C39F7"/>
    <w:rsid w:val="008C6F3F"/>
    <w:rsid w:val="008D524E"/>
    <w:rsid w:val="008D6CC5"/>
    <w:rsid w:val="008E0183"/>
    <w:rsid w:val="008E0C41"/>
    <w:rsid w:val="008E5144"/>
    <w:rsid w:val="008F0D66"/>
    <w:rsid w:val="008F1497"/>
    <w:rsid w:val="008F2D50"/>
    <w:rsid w:val="00900A2C"/>
    <w:rsid w:val="00903A23"/>
    <w:rsid w:val="00906D64"/>
    <w:rsid w:val="00906E94"/>
    <w:rsid w:val="00907B27"/>
    <w:rsid w:val="00910175"/>
    <w:rsid w:val="00911A01"/>
    <w:rsid w:val="0091272E"/>
    <w:rsid w:val="00914C68"/>
    <w:rsid w:val="00917015"/>
    <w:rsid w:val="00922316"/>
    <w:rsid w:val="0092324A"/>
    <w:rsid w:val="00930B23"/>
    <w:rsid w:val="009408DF"/>
    <w:rsid w:val="009416EE"/>
    <w:rsid w:val="00945A62"/>
    <w:rsid w:val="00950AD9"/>
    <w:rsid w:val="009527FC"/>
    <w:rsid w:val="0095435A"/>
    <w:rsid w:val="009615D8"/>
    <w:rsid w:val="00964252"/>
    <w:rsid w:val="009659C9"/>
    <w:rsid w:val="00966DA5"/>
    <w:rsid w:val="00971036"/>
    <w:rsid w:val="00973DF1"/>
    <w:rsid w:val="009A5566"/>
    <w:rsid w:val="009C1D0D"/>
    <w:rsid w:val="009C5369"/>
    <w:rsid w:val="009D5615"/>
    <w:rsid w:val="009D6CAE"/>
    <w:rsid w:val="009D7ACB"/>
    <w:rsid w:val="009E1FA4"/>
    <w:rsid w:val="009E590C"/>
    <w:rsid w:val="009E5A34"/>
    <w:rsid w:val="009E6F6A"/>
    <w:rsid w:val="009E7C18"/>
    <w:rsid w:val="009F29D6"/>
    <w:rsid w:val="009F3042"/>
    <w:rsid w:val="009F3915"/>
    <w:rsid w:val="00A07659"/>
    <w:rsid w:val="00A230D1"/>
    <w:rsid w:val="00A248CB"/>
    <w:rsid w:val="00A3272F"/>
    <w:rsid w:val="00A33AD7"/>
    <w:rsid w:val="00A35143"/>
    <w:rsid w:val="00A409A4"/>
    <w:rsid w:val="00A43357"/>
    <w:rsid w:val="00A449B4"/>
    <w:rsid w:val="00A52944"/>
    <w:rsid w:val="00A535A4"/>
    <w:rsid w:val="00A5521B"/>
    <w:rsid w:val="00A55C26"/>
    <w:rsid w:val="00A55FB7"/>
    <w:rsid w:val="00A57A92"/>
    <w:rsid w:val="00A61F9F"/>
    <w:rsid w:val="00A66E32"/>
    <w:rsid w:val="00A67C5A"/>
    <w:rsid w:val="00A70E18"/>
    <w:rsid w:val="00A71A5A"/>
    <w:rsid w:val="00A7772C"/>
    <w:rsid w:val="00A80FF7"/>
    <w:rsid w:val="00A81B09"/>
    <w:rsid w:val="00A84389"/>
    <w:rsid w:val="00A90C26"/>
    <w:rsid w:val="00A91A30"/>
    <w:rsid w:val="00A96048"/>
    <w:rsid w:val="00A97628"/>
    <w:rsid w:val="00AA035B"/>
    <w:rsid w:val="00AA1809"/>
    <w:rsid w:val="00AB4843"/>
    <w:rsid w:val="00AB4D5A"/>
    <w:rsid w:val="00AC1621"/>
    <w:rsid w:val="00AC24C2"/>
    <w:rsid w:val="00AC2E67"/>
    <w:rsid w:val="00AC761B"/>
    <w:rsid w:val="00AD00DD"/>
    <w:rsid w:val="00AD05E1"/>
    <w:rsid w:val="00AD32EB"/>
    <w:rsid w:val="00AD4A2A"/>
    <w:rsid w:val="00B046C2"/>
    <w:rsid w:val="00B076CC"/>
    <w:rsid w:val="00B11399"/>
    <w:rsid w:val="00B14FA2"/>
    <w:rsid w:val="00B1756F"/>
    <w:rsid w:val="00B20794"/>
    <w:rsid w:val="00B31565"/>
    <w:rsid w:val="00B35985"/>
    <w:rsid w:val="00B418F0"/>
    <w:rsid w:val="00B44969"/>
    <w:rsid w:val="00B449CF"/>
    <w:rsid w:val="00B44B2C"/>
    <w:rsid w:val="00B46417"/>
    <w:rsid w:val="00B50054"/>
    <w:rsid w:val="00B50EB8"/>
    <w:rsid w:val="00B535CC"/>
    <w:rsid w:val="00B57170"/>
    <w:rsid w:val="00B6094A"/>
    <w:rsid w:val="00B619D4"/>
    <w:rsid w:val="00B62C00"/>
    <w:rsid w:val="00B773A7"/>
    <w:rsid w:val="00B80234"/>
    <w:rsid w:val="00B81C84"/>
    <w:rsid w:val="00B83278"/>
    <w:rsid w:val="00B87921"/>
    <w:rsid w:val="00B911EB"/>
    <w:rsid w:val="00B9410F"/>
    <w:rsid w:val="00B948CA"/>
    <w:rsid w:val="00B968F8"/>
    <w:rsid w:val="00BA1C42"/>
    <w:rsid w:val="00BA5447"/>
    <w:rsid w:val="00BA6BB8"/>
    <w:rsid w:val="00BC4349"/>
    <w:rsid w:val="00BD5581"/>
    <w:rsid w:val="00BF25F0"/>
    <w:rsid w:val="00C02E2E"/>
    <w:rsid w:val="00C041BC"/>
    <w:rsid w:val="00C05504"/>
    <w:rsid w:val="00C1120C"/>
    <w:rsid w:val="00C12F2D"/>
    <w:rsid w:val="00C14BD8"/>
    <w:rsid w:val="00C14E37"/>
    <w:rsid w:val="00C21ACA"/>
    <w:rsid w:val="00C225B7"/>
    <w:rsid w:val="00C24E57"/>
    <w:rsid w:val="00C27B45"/>
    <w:rsid w:val="00C33C21"/>
    <w:rsid w:val="00C35140"/>
    <w:rsid w:val="00C35872"/>
    <w:rsid w:val="00C41C1B"/>
    <w:rsid w:val="00C42EC7"/>
    <w:rsid w:val="00C4387A"/>
    <w:rsid w:val="00C43DF1"/>
    <w:rsid w:val="00C460D0"/>
    <w:rsid w:val="00C55562"/>
    <w:rsid w:val="00C56F6C"/>
    <w:rsid w:val="00C74E21"/>
    <w:rsid w:val="00C75A1B"/>
    <w:rsid w:val="00C76442"/>
    <w:rsid w:val="00C77AFB"/>
    <w:rsid w:val="00C925F9"/>
    <w:rsid w:val="00C95019"/>
    <w:rsid w:val="00CA0432"/>
    <w:rsid w:val="00CA0D95"/>
    <w:rsid w:val="00CA778E"/>
    <w:rsid w:val="00CB1AB5"/>
    <w:rsid w:val="00CB23F1"/>
    <w:rsid w:val="00CB27E0"/>
    <w:rsid w:val="00CC71A2"/>
    <w:rsid w:val="00CD1CE4"/>
    <w:rsid w:val="00CD1F19"/>
    <w:rsid w:val="00CD5C55"/>
    <w:rsid w:val="00CE0FF1"/>
    <w:rsid w:val="00CE1BAD"/>
    <w:rsid w:val="00CE1D30"/>
    <w:rsid w:val="00CE3AEB"/>
    <w:rsid w:val="00CE5C4B"/>
    <w:rsid w:val="00CE7579"/>
    <w:rsid w:val="00CF0F86"/>
    <w:rsid w:val="00CF13BA"/>
    <w:rsid w:val="00CF721A"/>
    <w:rsid w:val="00D12EFF"/>
    <w:rsid w:val="00D14182"/>
    <w:rsid w:val="00D20F26"/>
    <w:rsid w:val="00D21D93"/>
    <w:rsid w:val="00D24D0A"/>
    <w:rsid w:val="00D3046A"/>
    <w:rsid w:val="00D352E7"/>
    <w:rsid w:val="00D37A23"/>
    <w:rsid w:val="00D433F5"/>
    <w:rsid w:val="00D46E12"/>
    <w:rsid w:val="00D52C7E"/>
    <w:rsid w:val="00D5542C"/>
    <w:rsid w:val="00D72BB8"/>
    <w:rsid w:val="00D733A8"/>
    <w:rsid w:val="00D81293"/>
    <w:rsid w:val="00D82B29"/>
    <w:rsid w:val="00D83252"/>
    <w:rsid w:val="00D84DD9"/>
    <w:rsid w:val="00D90179"/>
    <w:rsid w:val="00D94482"/>
    <w:rsid w:val="00DA1564"/>
    <w:rsid w:val="00DA1AEC"/>
    <w:rsid w:val="00DA2E60"/>
    <w:rsid w:val="00DC3357"/>
    <w:rsid w:val="00DC37D1"/>
    <w:rsid w:val="00DC4519"/>
    <w:rsid w:val="00DD47B0"/>
    <w:rsid w:val="00DD6D05"/>
    <w:rsid w:val="00DE3A82"/>
    <w:rsid w:val="00DE6CF9"/>
    <w:rsid w:val="00DF0B7E"/>
    <w:rsid w:val="00DF4BB8"/>
    <w:rsid w:val="00E0034A"/>
    <w:rsid w:val="00E06B30"/>
    <w:rsid w:val="00E21D77"/>
    <w:rsid w:val="00E21F78"/>
    <w:rsid w:val="00E22844"/>
    <w:rsid w:val="00E3159C"/>
    <w:rsid w:val="00E32096"/>
    <w:rsid w:val="00E322DB"/>
    <w:rsid w:val="00E40106"/>
    <w:rsid w:val="00E41197"/>
    <w:rsid w:val="00E43A80"/>
    <w:rsid w:val="00E44795"/>
    <w:rsid w:val="00E45A78"/>
    <w:rsid w:val="00E50AF7"/>
    <w:rsid w:val="00E72DE6"/>
    <w:rsid w:val="00E80E82"/>
    <w:rsid w:val="00E82603"/>
    <w:rsid w:val="00E82A82"/>
    <w:rsid w:val="00E852A7"/>
    <w:rsid w:val="00E863B4"/>
    <w:rsid w:val="00E863FC"/>
    <w:rsid w:val="00E90023"/>
    <w:rsid w:val="00E92AFE"/>
    <w:rsid w:val="00E94F88"/>
    <w:rsid w:val="00EB01C0"/>
    <w:rsid w:val="00EB03A9"/>
    <w:rsid w:val="00EC11D0"/>
    <w:rsid w:val="00EC3633"/>
    <w:rsid w:val="00EC53F4"/>
    <w:rsid w:val="00ED2168"/>
    <w:rsid w:val="00ED3282"/>
    <w:rsid w:val="00ED3B81"/>
    <w:rsid w:val="00ED686B"/>
    <w:rsid w:val="00EE1E1E"/>
    <w:rsid w:val="00EF1EEE"/>
    <w:rsid w:val="00EF79DB"/>
    <w:rsid w:val="00F00A90"/>
    <w:rsid w:val="00F04F58"/>
    <w:rsid w:val="00F05157"/>
    <w:rsid w:val="00F1034B"/>
    <w:rsid w:val="00F2136F"/>
    <w:rsid w:val="00F217C4"/>
    <w:rsid w:val="00F22ECA"/>
    <w:rsid w:val="00F2602D"/>
    <w:rsid w:val="00F31012"/>
    <w:rsid w:val="00F315CA"/>
    <w:rsid w:val="00F34BFD"/>
    <w:rsid w:val="00F43688"/>
    <w:rsid w:val="00F446B9"/>
    <w:rsid w:val="00F4512B"/>
    <w:rsid w:val="00F517CE"/>
    <w:rsid w:val="00F549A4"/>
    <w:rsid w:val="00F55F06"/>
    <w:rsid w:val="00F72970"/>
    <w:rsid w:val="00F72AD9"/>
    <w:rsid w:val="00F746F1"/>
    <w:rsid w:val="00F8008F"/>
    <w:rsid w:val="00F83579"/>
    <w:rsid w:val="00F86EF8"/>
    <w:rsid w:val="00F91709"/>
    <w:rsid w:val="00F962E7"/>
    <w:rsid w:val="00FA73F1"/>
    <w:rsid w:val="00FB5DCB"/>
    <w:rsid w:val="00FC22D0"/>
    <w:rsid w:val="00FC45F8"/>
    <w:rsid w:val="00FD40C9"/>
    <w:rsid w:val="00FD5A07"/>
    <w:rsid w:val="00FD721E"/>
    <w:rsid w:val="00FE413D"/>
    <w:rsid w:val="00FE7DC0"/>
    <w:rsid w:val="00FF62F2"/>
    <w:rsid w:val="00FF75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uiPriority="11" w:qFormat="1"/>
    <w:lsdException w:name="Hyperlink" w:uiPriority="99"/>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Naslov1">
    <w:name w:val="heading 1"/>
    <w:basedOn w:val="Normal"/>
    <w:next w:val="Normal"/>
    <w:qFormat/>
    <w:rsid w:val="00CF13BA"/>
    <w:pPr>
      <w:keepNext/>
      <w:jc w:val="both"/>
      <w:outlineLvl w:val="0"/>
    </w:pPr>
    <w:rPr>
      <w:b/>
      <w:bCs/>
      <w:sz w:val="26"/>
    </w:rPr>
  </w:style>
  <w:style w:type="paragraph" w:styleId="Naslov2">
    <w:name w:val="heading 2"/>
    <w:basedOn w:val="Normal"/>
    <w:next w:val="Normal"/>
    <w:qFormat/>
    <w:rsid w:val="00CF13BA"/>
    <w:pPr>
      <w:keepNext/>
      <w:spacing w:before="240" w:after="60"/>
      <w:ind w:left="1701"/>
      <w:jc w:val="both"/>
      <w:outlineLvl w:val="1"/>
    </w:pPr>
    <w:rPr>
      <w:rFonts w:ascii="Arial" w:hAnsi="Arial" w:cs="Arial"/>
      <w:b/>
      <w:bCs/>
      <w:i/>
      <w:iCs/>
      <w:sz w:val="28"/>
      <w:szCs w:val="28"/>
      <w:lang w:val="en-GB" w:eastAsia="en-US"/>
    </w:rPr>
  </w:style>
  <w:style w:type="paragraph" w:styleId="Naslov3">
    <w:name w:val="heading 3"/>
    <w:basedOn w:val="Normal"/>
    <w:next w:val="Normal"/>
    <w:link w:val="Naslov3Char"/>
    <w:uiPriority w:val="99"/>
    <w:qFormat/>
    <w:rsid w:val="00641296"/>
    <w:pPr>
      <w:keepNext/>
      <w:spacing w:before="240" w:after="60"/>
      <w:jc w:val="both"/>
      <w:outlineLvl w:val="2"/>
    </w:pPr>
    <w:rPr>
      <w:rFonts w:ascii="Arial"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uiPriority w:val="99"/>
    <w:semiHidden/>
    <w:rsid w:val="001B224C"/>
    <w:rPr>
      <w:sz w:val="16"/>
      <w:szCs w:val="16"/>
    </w:rPr>
  </w:style>
  <w:style w:type="paragraph" w:styleId="Tekstkomentara">
    <w:name w:val="annotation text"/>
    <w:basedOn w:val="Normal"/>
    <w:link w:val="TekstkomentaraChar"/>
    <w:uiPriority w:val="99"/>
    <w:semiHidden/>
    <w:rsid w:val="001B224C"/>
    <w:rPr>
      <w:sz w:val="20"/>
      <w:szCs w:val="20"/>
    </w:rPr>
  </w:style>
  <w:style w:type="paragraph" w:styleId="Predmetkomentara">
    <w:name w:val="annotation subject"/>
    <w:basedOn w:val="Tekstkomentara"/>
    <w:next w:val="Tekstkomentara"/>
    <w:semiHidden/>
    <w:rsid w:val="001B224C"/>
    <w:rPr>
      <w:b/>
      <w:bCs/>
    </w:rPr>
  </w:style>
  <w:style w:type="paragraph" w:styleId="Tekstbalonia">
    <w:name w:val="Balloon Text"/>
    <w:basedOn w:val="Normal"/>
    <w:semiHidden/>
    <w:rsid w:val="001B224C"/>
    <w:rPr>
      <w:rFonts w:ascii="Tahoma" w:hAnsi="Tahoma" w:cs="Tahoma"/>
      <w:sz w:val="16"/>
      <w:szCs w:val="16"/>
    </w:rPr>
  </w:style>
  <w:style w:type="paragraph" w:styleId="Tekstfusnote">
    <w:name w:val="footnote text"/>
    <w:basedOn w:val="Normal"/>
    <w:semiHidden/>
    <w:rsid w:val="00A71A5A"/>
    <w:rPr>
      <w:sz w:val="20"/>
      <w:szCs w:val="20"/>
    </w:rPr>
  </w:style>
  <w:style w:type="character" w:styleId="Referencafusnote">
    <w:name w:val="footnote reference"/>
    <w:semiHidden/>
    <w:rsid w:val="00A71A5A"/>
    <w:rPr>
      <w:vertAlign w:val="superscript"/>
    </w:rPr>
  </w:style>
  <w:style w:type="paragraph" w:styleId="Tijeloteksta-uvlaka3">
    <w:name w:val="Body Text Indent 3"/>
    <w:aliases w:val=" uvlaka 3"/>
    <w:basedOn w:val="Normal"/>
    <w:rsid w:val="00CF13BA"/>
    <w:pPr>
      <w:spacing w:after="120"/>
      <w:ind w:left="283"/>
    </w:pPr>
    <w:rPr>
      <w:sz w:val="16"/>
      <w:szCs w:val="16"/>
    </w:rPr>
  </w:style>
  <w:style w:type="paragraph" w:styleId="Opisslike">
    <w:name w:val="caption"/>
    <w:basedOn w:val="Normal"/>
    <w:next w:val="Normal"/>
    <w:qFormat/>
    <w:rsid w:val="00CF13BA"/>
    <w:pPr>
      <w:spacing w:before="120" w:after="120"/>
    </w:pPr>
    <w:rPr>
      <w:b/>
      <w:bCs/>
      <w:sz w:val="20"/>
      <w:szCs w:val="20"/>
    </w:rPr>
  </w:style>
  <w:style w:type="paragraph" w:customStyle="1" w:styleId="CharChar1">
    <w:name w:val="Char Char1"/>
    <w:basedOn w:val="Normal"/>
    <w:autoRedefine/>
    <w:rsid w:val="00CF13BA"/>
    <w:pPr>
      <w:spacing w:after="160" w:line="240" w:lineRule="exact"/>
    </w:pPr>
    <w:rPr>
      <w:rFonts w:ascii="Life L2" w:hAnsi="Life L2"/>
      <w:sz w:val="22"/>
      <w:szCs w:val="20"/>
      <w:lang w:eastAsia="en-US"/>
    </w:rPr>
  </w:style>
  <w:style w:type="paragraph" w:styleId="Tijeloteksta">
    <w:name w:val="Body Text"/>
    <w:basedOn w:val="Normal"/>
    <w:rsid w:val="00CF13BA"/>
    <w:pPr>
      <w:spacing w:after="120"/>
    </w:pPr>
  </w:style>
  <w:style w:type="paragraph" w:styleId="Odlomakpopisa">
    <w:name w:val="List Paragraph"/>
    <w:basedOn w:val="Normal"/>
    <w:link w:val="OdlomakpopisaChar"/>
    <w:uiPriority w:val="34"/>
    <w:qFormat/>
    <w:rsid w:val="00524304"/>
    <w:pPr>
      <w:spacing w:after="200" w:line="276" w:lineRule="auto"/>
      <w:ind w:left="720"/>
      <w:contextualSpacing/>
    </w:pPr>
    <w:rPr>
      <w:rFonts w:ascii="Calibri" w:eastAsia="Calibri" w:hAnsi="Calibri"/>
      <w:sz w:val="22"/>
      <w:szCs w:val="22"/>
      <w:lang w:eastAsia="en-US"/>
    </w:rPr>
  </w:style>
  <w:style w:type="paragraph" w:customStyle="1" w:styleId="clanak">
    <w:name w:val="clanak"/>
    <w:basedOn w:val="Normal"/>
    <w:rsid w:val="00A80FF7"/>
    <w:pPr>
      <w:spacing w:before="100" w:beforeAutospacing="1" w:after="100" w:afterAutospacing="1"/>
      <w:jc w:val="center"/>
    </w:pPr>
  </w:style>
  <w:style w:type="paragraph" w:customStyle="1" w:styleId="t-9-8">
    <w:name w:val="t-9-8"/>
    <w:basedOn w:val="Normal"/>
    <w:rsid w:val="00A80FF7"/>
    <w:pPr>
      <w:spacing w:before="100" w:beforeAutospacing="1" w:after="100" w:afterAutospacing="1"/>
    </w:pPr>
  </w:style>
  <w:style w:type="paragraph" w:styleId="Zaglavlje">
    <w:name w:val="header"/>
    <w:basedOn w:val="Normal"/>
    <w:link w:val="ZaglavljeChar"/>
    <w:rsid w:val="005B59FA"/>
    <w:pPr>
      <w:tabs>
        <w:tab w:val="center" w:pos="4536"/>
        <w:tab w:val="right" w:pos="9072"/>
      </w:tabs>
    </w:pPr>
  </w:style>
  <w:style w:type="character" w:customStyle="1" w:styleId="ZaglavljeChar">
    <w:name w:val="Zaglavlje Char"/>
    <w:link w:val="Zaglavlje"/>
    <w:rsid w:val="005B59FA"/>
    <w:rPr>
      <w:sz w:val="24"/>
      <w:szCs w:val="24"/>
    </w:rPr>
  </w:style>
  <w:style w:type="paragraph" w:styleId="Podnoje">
    <w:name w:val="footer"/>
    <w:basedOn w:val="Normal"/>
    <w:link w:val="PodnojeChar"/>
    <w:uiPriority w:val="99"/>
    <w:rsid w:val="005B59FA"/>
    <w:pPr>
      <w:tabs>
        <w:tab w:val="center" w:pos="4536"/>
        <w:tab w:val="right" w:pos="9072"/>
      </w:tabs>
    </w:pPr>
  </w:style>
  <w:style w:type="character" w:customStyle="1" w:styleId="PodnojeChar">
    <w:name w:val="Podnožje Char"/>
    <w:link w:val="Podnoje"/>
    <w:uiPriority w:val="99"/>
    <w:rsid w:val="005B59FA"/>
    <w:rPr>
      <w:sz w:val="24"/>
      <w:szCs w:val="24"/>
    </w:rPr>
  </w:style>
  <w:style w:type="paragraph" w:styleId="Podnaslov">
    <w:name w:val="Subtitle"/>
    <w:basedOn w:val="Normal"/>
    <w:next w:val="Normal"/>
    <w:link w:val="PodnaslovChar"/>
    <w:uiPriority w:val="11"/>
    <w:qFormat/>
    <w:rsid w:val="00CD1CE4"/>
    <w:pPr>
      <w:numPr>
        <w:ilvl w:val="1"/>
      </w:numPr>
      <w:spacing w:after="200" w:line="276" w:lineRule="auto"/>
    </w:pPr>
    <w:rPr>
      <w:rFonts w:ascii="Cambria" w:hAnsi="Cambria"/>
      <w:i/>
      <w:iCs/>
      <w:color w:val="4F81BD"/>
      <w:spacing w:val="15"/>
      <w:lang w:eastAsia="en-US"/>
    </w:rPr>
  </w:style>
  <w:style w:type="character" w:customStyle="1" w:styleId="PodnaslovChar">
    <w:name w:val="Podnaslov Char"/>
    <w:link w:val="Podnaslov"/>
    <w:uiPriority w:val="11"/>
    <w:rsid w:val="00CD1CE4"/>
    <w:rPr>
      <w:rFonts w:ascii="Cambria" w:hAnsi="Cambria"/>
      <w:i/>
      <w:iCs/>
      <w:color w:val="4F81BD"/>
      <w:spacing w:val="15"/>
      <w:sz w:val="24"/>
      <w:szCs w:val="24"/>
      <w:lang w:eastAsia="en-US"/>
    </w:rPr>
  </w:style>
  <w:style w:type="character" w:styleId="Istaknuto">
    <w:name w:val="Emphasis"/>
    <w:uiPriority w:val="20"/>
    <w:qFormat/>
    <w:rsid w:val="00CD1CE4"/>
    <w:rPr>
      <w:i/>
      <w:iCs/>
    </w:rPr>
  </w:style>
  <w:style w:type="character" w:customStyle="1" w:styleId="OdlomakpopisaChar">
    <w:name w:val="Odlomak popisa Char"/>
    <w:link w:val="Odlomakpopisa"/>
    <w:uiPriority w:val="34"/>
    <w:locked/>
    <w:rsid w:val="00CD1CE4"/>
    <w:rPr>
      <w:rFonts w:ascii="Calibri" w:eastAsia="Calibri" w:hAnsi="Calibri"/>
      <w:sz w:val="22"/>
      <w:szCs w:val="22"/>
      <w:lang w:eastAsia="en-US"/>
    </w:rPr>
  </w:style>
  <w:style w:type="table" w:styleId="Reetkatablice">
    <w:name w:val="Table Grid"/>
    <w:basedOn w:val="Obinatablica"/>
    <w:rsid w:val="00CD1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aChar">
    <w:name w:val="Tekst komentara Char"/>
    <w:link w:val="Tekstkomentara"/>
    <w:uiPriority w:val="99"/>
    <w:semiHidden/>
    <w:rsid w:val="00CD1CE4"/>
  </w:style>
  <w:style w:type="character" w:customStyle="1" w:styleId="userinputholderreadonly1">
    <w:name w:val="userinputholderreadonly1"/>
    <w:rsid w:val="00CD1CE4"/>
    <w:rPr>
      <w:rFonts w:ascii="Tahoma" w:hAnsi="Tahoma" w:cs="Tahoma" w:hint="default"/>
      <w:sz w:val="17"/>
      <w:szCs w:val="17"/>
    </w:rPr>
  </w:style>
  <w:style w:type="character" w:styleId="Hiperveza">
    <w:name w:val="Hyperlink"/>
    <w:uiPriority w:val="99"/>
    <w:unhideWhenUsed/>
    <w:rsid w:val="00CD1CE4"/>
    <w:rPr>
      <w:color w:val="FF8073"/>
      <w:u w:val="single"/>
    </w:rPr>
  </w:style>
  <w:style w:type="character" w:styleId="SlijeenaHiperveza">
    <w:name w:val="FollowedHyperlink"/>
    <w:uiPriority w:val="99"/>
    <w:unhideWhenUsed/>
    <w:rsid w:val="00CD1CE4"/>
    <w:rPr>
      <w:color w:val="800080"/>
      <w:u w:val="single"/>
    </w:rPr>
  </w:style>
  <w:style w:type="paragraph" w:customStyle="1" w:styleId="xl124">
    <w:name w:val="xl124"/>
    <w:basedOn w:val="Normal"/>
    <w:rsid w:val="00CD1CE4"/>
    <w:pPr>
      <w:pBdr>
        <w:top w:val="single" w:sz="4" w:space="0" w:color="848484"/>
        <w:left w:val="single" w:sz="4" w:space="7" w:color="848484"/>
        <w:bottom w:val="single" w:sz="4" w:space="0" w:color="848484"/>
        <w:right w:val="single" w:sz="4" w:space="0" w:color="848484"/>
      </w:pBdr>
      <w:shd w:val="clear" w:color="000000" w:fill="EFF6FB"/>
      <w:spacing w:before="100" w:beforeAutospacing="1" w:after="100" w:afterAutospacing="1"/>
      <w:ind w:firstLineChars="100" w:firstLine="100"/>
      <w:textAlignment w:val="center"/>
    </w:pPr>
    <w:rPr>
      <w:rFonts w:ascii="Arial" w:hAnsi="Arial" w:cs="Arial"/>
    </w:rPr>
  </w:style>
  <w:style w:type="paragraph" w:customStyle="1" w:styleId="xl125">
    <w:name w:val="xl125"/>
    <w:basedOn w:val="Normal"/>
    <w:rsid w:val="00CD1CE4"/>
    <w:pPr>
      <w:pBdr>
        <w:top w:val="single" w:sz="4" w:space="0" w:color="848484"/>
        <w:left w:val="single" w:sz="4" w:space="0" w:color="848484"/>
        <w:bottom w:val="single" w:sz="4" w:space="0" w:color="848484"/>
        <w:right w:val="single" w:sz="4" w:space="0" w:color="848484"/>
      </w:pBdr>
      <w:shd w:val="clear" w:color="000000" w:fill="C6C4C4"/>
      <w:spacing w:before="100" w:beforeAutospacing="1" w:after="100" w:afterAutospacing="1"/>
      <w:jc w:val="right"/>
      <w:textAlignment w:val="center"/>
    </w:pPr>
    <w:rPr>
      <w:rFonts w:ascii="Arial" w:hAnsi="Arial" w:cs="Arial"/>
    </w:rPr>
  </w:style>
  <w:style w:type="paragraph" w:customStyle="1" w:styleId="xl126">
    <w:name w:val="xl126"/>
    <w:basedOn w:val="Normal"/>
    <w:rsid w:val="00CD1CE4"/>
    <w:pPr>
      <w:pBdr>
        <w:top w:val="single" w:sz="4" w:space="0" w:color="848484"/>
        <w:left w:val="single" w:sz="4" w:space="7" w:color="848484"/>
        <w:bottom w:val="single" w:sz="4" w:space="0" w:color="848484"/>
        <w:right w:val="single" w:sz="4" w:space="0" w:color="848484"/>
      </w:pBdr>
      <w:shd w:val="clear" w:color="000000" w:fill="FFFDC1"/>
      <w:spacing w:before="100" w:beforeAutospacing="1" w:after="100" w:afterAutospacing="1"/>
      <w:ind w:firstLineChars="100" w:firstLine="100"/>
      <w:textAlignment w:val="center"/>
    </w:pPr>
    <w:rPr>
      <w:rFonts w:ascii="Arial" w:hAnsi="Arial" w:cs="Arial"/>
    </w:rPr>
  </w:style>
  <w:style w:type="paragraph" w:customStyle="1" w:styleId="xl127">
    <w:name w:val="xl127"/>
    <w:basedOn w:val="Normal"/>
    <w:rsid w:val="00CD1CE4"/>
    <w:pPr>
      <w:pBdr>
        <w:top w:val="single" w:sz="4" w:space="0" w:color="848484"/>
        <w:left w:val="single" w:sz="4" w:space="0" w:color="848484"/>
        <w:bottom w:val="single" w:sz="4" w:space="0" w:color="848484"/>
        <w:right w:val="single" w:sz="4" w:space="0" w:color="848484"/>
      </w:pBdr>
      <w:shd w:val="clear" w:color="000000" w:fill="FFFDC1"/>
      <w:spacing w:before="100" w:beforeAutospacing="1" w:after="100" w:afterAutospacing="1"/>
      <w:textAlignment w:val="center"/>
    </w:pPr>
    <w:rPr>
      <w:rFonts w:ascii="Arial" w:hAnsi="Arial" w:cs="Arial"/>
    </w:rPr>
  </w:style>
  <w:style w:type="paragraph" w:customStyle="1" w:styleId="xl128">
    <w:name w:val="xl128"/>
    <w:basedOn w:val="Normal"/>
    <w:rsid w:val="00CD1CE4"/>
    <w:pPr>
      <w:pBdr>
        <w:top w:val="single" w:sz="4" w:space="0" w:color="848484"/>
        <w:left w:val="single" w:sz="4" w:space="7" w:color="848484"/>
        <w:bottom w:val="single" w:sz="4" w:space="0" w:color="848484"/>
        <w:right w:val="single" w:sz="4" w:space="0" w:color="848484"/>
      </w:pBdr>
      <w:shd w:val="clear" w:color="000000" w:fill="B7CFE8"/>
      <w:spacing w:before="100" w:beforeAutospacing="1" w:after="100" w:afterAutospacing="1"/>
      <w:ind w:firstLineChars="100" w:firstLine="100"/>
      <w:textAlignment w:val="center"/>
    </w:pPr>
    <w:rPr>
      <w:rFonts w:ascii="Arial" w:hAnsi="Arial" w:cs="Arial"/>
    </w:rPr>
  </w:style>
  <w:style w:type="paragraph" w:customStyle="1" w:styleId="xl129">
    <w:name w:val="xl129"/>
    <w:basedOn w:val="Normal"/>
    <w:rsid w:val="00CD1CE4"/>
    <w:pPr>
      <w:pBdr>
        <w:top w:val="single" w:sz="4" w:space="0" w:color="848484"/>
        <w:left w:val="single" w:sz="4" w:space="0" w:color="848484"/>
        <w:bottom w:val="single" w:sz="4" w:space="0" w:color="848484"/>
        <w:right w:val="single" w:sz="4" w:space="0" w:color="848484"/>
      </w:pBdr>
      <w:spacing w:before="100" w:beforeAutospacing="1" w:after="100" w:afterAutospacing="1"/>
      <w:jc w:val="right"/>
      <w:textAlignment w:val="center"/>
    </w:pPr>
    <w:rPr>
      <w:rFonts w:ascii="Arial" w:hAnsi="Arial" w:cs="Arial"/>
    </w:rPr>
  </w:style>
  <w:style w:type="paragraph" w:customStyle="1" w:styleId="xl130">
    <w:name w:val="xl130"/>
    <w:basedOn w:val="Normal"/>
    <w:rsid w:val="00CD1CE4"/>
    <w:pPr>
      <w:pBdr>
        <w:top w:val="single" w:sz="4" w:space="0" w:color="848484"/>
        <w:left w:val="single" w:sz="4" w:space="7" w:color="848484"/>
        <w:bottom w:val="single" w:sz="4" w:space="0" w:color="848484"/>
        <w:right w:val="single" w:sz="4" w:space="0" w:color="848484"/>
      </w:pBdr>
      <w:shd w:val="clear" w:color="000000" w:fill="C3D6EB"/>
      <w:spacing w:before="100" w:beforeAutospacing="1" w:after="100" w:afterAutospacing="1"/>
      <w:ind w:firstLineChars="100" w:firstLine="100"/>
      <w:textAlignment w:val="center"/>
    </w:pPr>
    <w:rPr>
      <w:rFonts w:ascii="Arial" w:hAnsi="Arial" w:cs="Arial"/>
    </w:rPr>
  </w:style>
  <w:style w:type="paragraph" w:customStyle="1" w:styleId="xl131">
    <w:name w:val="xl131"/>
    <w:basedOn w:val="Normal"/>
    <w:rsid w:val="00CD1CE4"/>
    <w:pPr>
      <w:pBdr>
        <w:top w:val="single" w:sz="4" w:space="0" w:color="848484"/>
        <w:left w:val="single" w:sz="4" w:space="7" w:color="848484"/>
        <w:bottom w:val="single" w:sz="4" w:space="0" w:color="848484"/>
        <w:right w:val="single" w:sz="4" w:space="0" w:color="848484"/>
      </w:pBdr>
      <w:shd w:val="clear" w:color="000000" w:fill="EFF6FB"/>
      <w:spacing w:before="100" w:beforeAutospacing="1" w:after="100" w:afterAutospacing="1"/>
      <w:ind w:firstLineChars="100" w:firstLine="100"/>
      <w:textAlignment w:val="center"/>
    </w:pPr>
    <w:rPr>
      <w:rFonts w:ascii="Arial" w:hAnsi="Arial" w:cs="Arial"/>
    </w:rPr>
  </w:style>
  <w:style w:type="paragraph" w:customStyle="1" w:styleId="xl132">
    <w:name w:val="xl132"/>
    <w:basedOn w:val="Normal"/>
    <w:rsid w:val="00CD1CE4"/>
    <w:pPr>
      <w:pBdr>
        <w:top w:val="single" w:sz="4" w:space="0" w:color="848484"/>
        <w:left w:val="single" w:sz="4" w:space="14" w:color="848484"/>
        <w:bottom w:val="single" w:sz="4" w:space="0" w:color="848484"/>
        <w:right w:val="single" w:sz="4" w:space="0" w:color="848484"/>
      </w:pBdr>
      <w:shd w:val="clear" w:color="000000" w:fill="B7CFE8"/>
      <w:spacing w:before="100" w:beforeAutospacing="1" w:after="100" w:afterAutospacing="1"/>
      <w:ind w:firstLineChars="200" w:firstLine="200"/>
      <w:textAlignment w:val="center"/>
    </w:pPr>
    <w:rPr>
      <w:rFonts w:ascii="Arial" w:hAnsi="Arial" w:cs="Arial"/>
    </w:rPr>
  </w:style>
  <w:style w:type="paragraph" w:customStyle="1" w:styleId="xl133">
    <w:name w:val="xl133"/>
    <w:basedOn w:val="Normal"/>
    <w:rsid w:val="00CD1CE4"/>
    <w:pPr>
      <w:pBdr>
        <w:top w:val="single" w:sz="4" w:space="0" w:color="848484"/>
        <w:left w:val="single" w:sz="4" w:space="0" w:color="848484"/>
        <w:bottom w:val="single" w:sz="4" w:space="0" w:color="848484"/>
        <w:right w:val="single" w:sz="4" w:space="0" w:color="848484"/>
      </w:pBdr>
      <w:spacing w:before="100" w:beforeAutospacing="1" w:after="100" w:afterAutospacing="1"/>
      <w:jc w:val="right"/>
      <w:textAlignment w:val="center"/>
    </w:pPr>
    <w:rPr>
      <w:rFonts w:ascii="Arial" w:hAnsi="Arial" w:cs="Arial"/>
    </w:rPr>
  </w:style>
  <w:style w:type="paragraph" w:customStyle="1" w:styleId="xl134">
    <w:name w:val="xl134"/>
    <w:basedOn w:val="Normal"/>
    <w:rsid w:val="00CD1CE4"/>
    <w:pPr>
      <w:pBdr>
        <w:top w:val="single" w:sz="4" w:space="0" w:color="848484"/>
        <w:left w:val="single" w:sz="4" w:space="0" w:color="848484"/>
        <w:bottom w:val="single" w:sz="4" w:space="0" w:color="848484"/>
        <w:right w:val="single" w:sz="4" w:space="0" w:color="848484"/>
      </w:pBdr>
      <w:shd w:val="clear" w:color="000000" w:fill="FFFDC1"/>
      <w:spacing w:before="100" w:beforeAutospacing="1" w:after="100" w:afterAutospacing="1"/>
      <w:textAlignment w:val="center"/>
    </w:pPr>
    <w:rPr>
      <w:rFonts w:ascii="Arial" w:hAnsi="Arial" w:cs="Arial"/>
    </w:rPr>
  </w:style>
  <w:style w:type="paragraph" w:customStyle="1" w:styleId="xl135">
    <w:name w:val="xl135"/>
    <w:basedOn w:val="Normal"/>
    <w:rsid w:val="00CD1CE4"/>
    <w:pPr>
      <w:pBdr>
        <w:top w:val="single" w:sz="4" w:space="0" w:color="848484"/>
        <w:left w:val="single" w:sz="4" w:space="7" w:color="848484"/>
        <w:bottom w:val="single" w:sz="4" w:space="0" w:color="848484"/>
        <w:right w:val="single" w:sz="4" w:space="0" w:color="848484"/>
      </w:pBdr>
      <w:shd w:val="clear" w:color="000000" w:fill="D5E3F2"/>
      <w:spacing w:before="100" w:beforeAutospacing="1" w:after="100" w:afterAutospacing="1"/>
      <w:ind w:firstLineChars="100" w:firstLine="100"/>
      <w:textAlignment w:val="center"/>
    </w:pPr>
    <w:rPr>
      <w:rFonts w:ascii="Arial" w:hAnsi="Arial" w:cs="Arial"/>
    </w:rPr>
  </w:style>
  <w:style w:type="paragraph" w:customStyle="1" w:styleId="xl136">
    <w:name w:val="xl136"/>
    <w:basedOn w:val="Normal"/>
    <w:rsid w:val="00CD1CE4"/>
    <w:pPr>
      <w:pBdr>
        <w:top w:val="single" w:sz="4" w:space="0" w:color="848484"/>
        <w:left w:val="single" w:sz="4" w:space="7" w:color="848484"/>
        <w:bottom w:val="single" w:sz="4" w:space="0" w:color="848484"/>
        <w:right w:val="single" w:sz="4" w:space="0" w:color="848484"/>
      </w:pBdr>
      <w:shd w:val="clear" w:color="000000" w:fill="D5E3F2"/>
      <w:spacing w:before="100" w:beforeAutospacing="1" w:after="100" w:afterAutospacing="1"/>
      <w:ind w:firstLineChars="100" w:firstLine="100"/>
      <w:textAlignment w:val="center"/>
    </w:pPr>
    <w:rPr>
      <w:rFonts w:ascii="Arial" w:hAnsi="Arial" w:cs="Arial"/>
    </w:rPr>
  </w:style>
  <w:style w:type="paragraph" w:customStyle="1" w:styleId="xl137">
    <w:name w:val="xl137"/>
    <w:basedOn w:val="Normal"/>
    <w:rsid w:val="00CD1CE4"/>
    <w:pPr>
      <w:pBdr>
        <w:top w:val="single" w:sz="4" w:space="0" w:color="848484"/>
        <w:left w:val="single" w:sz="4" w:space="0" w:color="848484"/>
        <w:bottom w:val="single" w:sz="4" w:space="0" w:color="848484"/>
        <w:right w:val="single" w:sz="4" w:space="0" w:color="848484"/>
      </w:pBdr>
      <w:spacing w:before="100" w:beforeAutospacing="1" w:after="100" w:afterAutospacing="1"/>
      <w:jc w:val="right"/>
      <w:textAlignment w:val="center"/>
    </w:pPr>
    <w:rPr>
      <w:rFonts w:ascii="Arial" w:hAnsi="Arial" w:cs="Arial"/>
    </w:rPr>
  </w:style>
  <w:style w:type="paragraph" w:customStyle="1" w:styleId="xl138">
    <w:name w:val="xl138"/>
    <w:basedOn w:val="Normal"/>
    <w:rsid w:val="00CD1CE4"/>
    <w:pPr>
      <w:pBdr>
        <w:top w:val="single" w:sz="4" w:space="0" w:color="848484"/>
        <w:left w:val="single" w:sz="4" w:space="20" w:color="848484"/>
        <w:bottom w:val="single" w:sz="4" w:space="0" w:color="848484"/>
        <w:right w:val="single" w:sz="4" w:space="0" w:color="848484"/>
      </w:pBdr>
      <w:shd w:val="clear" w:color="000000" w:fill="C3D6EB"/>
      <w:spacing w:before="100" w:beforeAutospacing="1" w:after="100" w:afterAutospacing="1"/>
      <w:ind w:firstLineChars="300" w:firstLine="300"/>
      <w:textAlignment w:val="center"/>
    </w:pPr>
    <w:rPr>
      <w:rFonts w:ascii="Arial" w:hAnsi="Arial" w:cs="Arial"/>
    </w:rPr>
  </w:style>
  <w:style w:type="paragraph" w:customStyle="1" w:styleId="xl139">
    <w:name w:val="xl139"/>
    <w:basedOn w:val="Normal"/>
    <w:rsid w:val="00CD1CE4"/>
    <w:pPr>
      <w:pBdr>
        <w:top w:val="single" w:sz="4" w:space="0" w:color="848484"/>
        <w:left w:val="single" w:sz="4" w:space="27" w:color="848484"/>
        <w:bottom w:val="single" w:sz="4" w:space="0" w:color="848484"/>
        <w:right w:val="single" w:sz="4" w:space="0" w:color="848484"/>
      </w:pBdr>
      <w:shd w:val="clear" w:color="000000" w:fill="D5E3F2"/>
      <w:spacing w:before="100" w:beforeAutospacing="1" w:after="100" w:afterAutospacing="1"/>
      <w:ind w:firstLineChars="400" w:firstLine="400"/>
      <w:textAlignment w:val="center"/>
    </w:pPr>
    <w:rPr>
      <w:rFonts w:ascii="Arial" w:hAnsi="Arial" w:cs="Arial"/>
    </w:rPr>
  </w:style>
  <w:style w:type="paragraph" w:customStyle="1" w:styleId="xl140">
    <w:name w:val="xl140"/>
    <w:basedOn w:val="Normal"/>
    <w:rsid w:val="00CD1CE4"/>
    <w:pPr>
      <w:pBdr>
        <w:top w:val="single" w:sz="4" w:space="0" w:color="848484"/>
        <w:left w:val="single" w:sz="4" w:space="31" w:color="848484"/>
        <w:bottom w:val="single" w:sz="4" w:space="0" w:color="848484"/>
        <w:right w:val="single" w:sz="4" w:space="0" w:color="848484"/>
      </w:pBdr>
      <w:shd w:val="clear" w:color="000000" w:fill="D5E3F2"/>
      <w:spacing w:before="100" w:beforeAutospacing="1" w:after="100" w:afterAutospacing="1"/>
      <w:ind w:firstLineChars="500" w:firstLine="500"/>
      <w:textAlignment w:val="center"/>
    </w:pPr>
    <w:rPr>
      <w:rFonts w:ascii="Arial" w:hAnsi="Arial" w:cs="Arial"/>
    </w:rPr>
  </w:style>
  <w:style w:type="paragraph" w:customStyle="1" w:styleId="xmsonormal">
    <w:name w:val="x_msonormal"/>
    <w:basedOn w:val="Normal"/>
    <w:uiPriority w:val="99"/>
    <w:rsid w:val="00CD1CE4"/>
  </w:style>
  <w:style w:type="character" w:customStyle="1" w:styleId="Naslov3Char">
    <w:name w:val="Naslov 3 Char"/>
    <w:link w:val="Naslov3"/>
    <w:uiPriority w:val="99"/>
    <w:rsid w:val="00641296"/>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uiPriority="11" w:qFormat="1"/>
    <w:lsdException w:name="Hyperlink" w:uiPriority="99"/>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Naslov1">
    <w:name w:val="heading 1"/>
    <w:basedOn w:val="Normal"/>
    <w:next w:val="Normal"/>
    <w:qFormat/>
    <w:rsid w:val="00CF13BA"/>
    <w:pPr>
      <w:keepNext/>
      <w:jc w:val="both"/>
      <w:outlineLvl w:val="0"/>
    </w:pPr>
    <w:rPr>
      <w:b/>
      <w:bCs/>
      <w:sz w:val="26"/>
    </w:rPr>
  </w:style>
  <w:style w:type="paragraph" w:styleId="Naslov2">
    <w:name w:val="heading 2"/>
    <w:basedOn w:val="Normal"/>
    <w:next w:val="Normal"/>
    <w:qFormat/>
    <w:rsid w:val="00CF13BA"/>
    <w:pPr>
      <w:keepNext/>
      <w:spacing w:before="240" w:after="60"/>
      <w:ind w:left="1701"/>
      <w:jc w:val="both"/>
      <w:outlineLvl w:val="1"/>
    </w:pPr>
    <w:rPr>
      <w:rFonts w:ascii="Arial" w:hAnsi="Arial" w:cs="Arial"/>
      <w:b/>
      <w:bCs/>
      <w:i/>
      <w:iCs/>
      <w:sz w:val="28"/>
      <w:szCs w:val="28"/>
      <w:lang w:val="en-GB" w:eastAsia="en-US"/>
    </w:rPr>
  </w:style>
  <w:style w:type="paragraph" w:styleId="Naslov3">
    <w:name w:val="heading 3"/>
    <w:basedOn w:val="Normal"/>
    <w:next w:val="Normal"/>
    <w:link w:val="Naslov3Char"/>
    <w:uiPriority w:val="99"/>
    <w:qFormat/>
    <w:rsid w:val="00641296"/>
    <w:pPr>
      <w:keepNext/>
      <w:spacing w:before="240" w:after="60"/>
      <w:jc w:val="both"/>
      <w:outlineLvl w:val="2"/>
    </w:pPr>
    <w:rPr>
      <w:rFonts w:ascii="Arial"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uiPriority w:val="99"/>
    <w:semiHidden/>
    <w:rsid w:val="001B224C"/>
    <w:rPr>
      <w:sz w:val="16"/>
      <w:szCs w:val="16"/>
    </w:rPr>
  </w:style>
  <w:style w:type="paragraph" w:styleId="Tekstkomentara">
    <w:name w:val="annotation text"/>
    <w:basedOn w:val="Normal"/>
    <w:link w:val="TekstkomentaraChar"/>
    <w:uiPriority w:val="99"/>
    <w:semiHidden/>
    <w:rsid w:val="001B224C"/>
    <w:rPr>
      <w:sz w:val="20"/>
      <w:szCs w:val="20"/>
    </w:rPr>
  </w:style>
  <w:style w:type="paragraph" w:styleId="Predmetkomentara">
    <w:name w:val="annotation subject"/>
    <w:basedOn w:val="Tekstkomentara"/>
    <w:next w:val="Tekstkomentara"/>
    <w:semiHidden/>
    <w:rsid w:val="001B224C"/>
    <w:rPr>
      <w:b/>
      <w:bCs/>
    </w:rPr>
  </w:style>
  <w:style w:type="paragraph" w:styleId="Tekstbalonia">
    <w:name w:val="Balloon Text"/>
    <w:basedOn w:val="Normal"/>
    <w:semiHidden/>
    <w:rsid w:val="001B224C"/>
    <w:rPr>
      <w:rFonts w:ascii="Tahoma" w:hAnsi="Tahoma" w:cs="Tahoma"/>
      <w:sz w:val="16"/>
      <w:szCs w:val="16"/>
    </w:rPr>
  </w:style>
  <w:style w:type="paragraph" w:styleId="Tekstfusnote">
    <w:name w:val="footnote text"/>
    <w:basedOn w:val="Normal"/>
    <w:semiHidden/>
    <w:rsid w:val="00A71A5A"/>
    <w:rPr>
      <w:sz w:val="20"/>
      <w:szCs w:val="20"/>
    </w:rPr>
  </w:style>
  <w:style w:type="character" w:styleId="Referencafusnote">
    <w:name w:val="footnote reference"/>
    <w:semiHidden/>
    <w:rsid w:val="00A71A5A"/>
    <w:rPr>
      <w:vertAlign w:val="superscript"/>
    </w:rPr>
  </w:style>
  <w:style w:type="paragraph" w:styleId="Tijeloteksta-uvlaka3">
    <w:name w:val="Body Text Indent 3"/>
    <w:aliases w:val=" uvlaka 3"/>
    <w:basedOn w:val="Normal"/>
    <w:rsid w:val="00CF13BA"/>
    <w:pPr>
      <w:spacing w:after="120"/>
      <w:ind w:left="283"/>
    </w:pPr>
    <w:rPr>
      <w:sz w:val="16"/>
      <w:szCs w:val="16"/>
    </w:rPr>
  </w:style>
  <w:style w:type="paragraph" w:styleId="Opisslike">
    <w:name w:val="caption"/>
    <w:basedOn w:val="Normal"/>
    <w:next w:val="Normal"/>
    <w:qFormat/>
    <w:rsid w:val="00CF13BA"/>
    <w:pPr>
      <w:spacing w:before="120" w:after="120"/>
    </w:pPr>
    <w:rPr>
      <w:b/>
      <w:bCs/>
      <w:sz w:val="20"/>
      <w:szCs w:val="20"/>
    </w:rPr>
  </w:style>
  <w:style w:type="paragraph" w:customStyle="1" w:styleId="CharChar1">
    <w:name w:val="Char Char1"/>
    <w:basedOn w:val="Normal"/>
    <w:autoRedefine/>
    <w:rsid w:val="00CF13BA"/>
    <w:pPr>
      <w:spacing w:after="160" w:line="240" w:lineRule="exact"/>
    </w:pPr>
    <w:rPr>
      <w:rFonts w:ascii="Life L2" w:hAnsi="Life L2"/>
      <w:sz w:val="22"/>
      <w:szCs w:val="20"/>
      <w:lang w:eastAsia="en-US"/>
    </w:rPr>
  </w:style>
  <w:style w:type="paragraph" w:styleId="Tijeloteksta">
    <w:name w:val="Body Text"/>
    <w:basedOn w:val="Normal"/>
    <w:rsid w:val="00CF13BA"/>
    <w:pPr>
      <w:spacing w:after="120"/>
    </w:pPr>
  </w:style>
  <w:style w:type="paragraph" w:styleId="Odlomakpopisa">
    <w:name w:val="List Paragraph"/>
    <w:basedOn w:val="Normal"/>
    <w:link w:val="OdlomakpopisaChar"/>
    <w:uiPriority w:val="34"/>
    <w:qFormat/>
    <w:rsid w:val="00524304"/>
    <w:pPr>
      <w:spacing w:after="200" w:line="276" w:lineRule="auto"/>
      <w:ind w:left="720"/>
      <w:contextualSpacing/>
    </w:pPr>
    <w:rPr>
      <w:rFonts w:ascii="Calibri" w:eastAsia="Calibri" w:hAnsi="Calibri"/>
      <w:sz w:val="22"/>
      <w:szCs w:val="22"/>
      <w:lang w:eastAsia="en-US"/>
    </w:rPr>
  </w:style>
  <w:style w:type="paragraph" w:customStyle="1" w:styleId="clanak">
    <w:name w:val="clanak"/>
    <w:basedOn w:val="Normal"/>
    <w:rsid w:val="00A80FF7"/>
    <w:pPr>
      <w:spacing w:before="100" w:beforeAutospacing="1" w:after="100" w:afterAutospacing="1"/>
      <w:jc w:val="center"/>
    </w:pPr>
  </w:style>
  <w:style w:type="paragraph" w:customStyle="1" w:styleId="t-9-8">
    <w:name w:val="t-9-8"/>
    <w:basedOn w:val="Normal"/>
    <w:rsid w:val="00A80FF7"/>
    <w:pPr>
      <w:spacing w:before="100" w:beforeAutospacing="1" w:after="100" w:afterAutospacing="1"/>
    </w:pPr>
  </w:style>
  <w:style w:type="paragraph" w:styleId="Zaglavlje">
    <w:name w:val="header"/>
    <w:basedOn w:val="Normal"/>
    <w:link w:val="ZaglavljeChar"/>
    <w:rsid w:val="005B59FA"/>
    <w:pPr>
      <w:tabs>
        <w:tab w:val="center" w:pos="4536"/>
        <w:tab w:val="right" w:pos="9072"/>
      </w:tabs>
    </w:pPr>
  </w:style>
  <w:style w:type="character" w:customStyle="1" w:styleId="ZaglavljeChar">
    <w:name w:val="Zaglavlje Char"/>
    <w:link w:val="Zaglavlje"/>
    <w:rsid w:val="005B59FA"/>
    <w:rPr>
      <w:sz w:val="24"/>
      <w:szCs w:val="24"/>
    </w:rPr>
  </w:style>
  <w:style w:type="paragraph" w:styleId="Podnoje">
    <w:name w:val="footer"/>
    <w:basedOn w:val="Normal"/>
    <w:link w:val="PodnojeChar"/>
    <w:uiPriority w:val="99"/>
    <w:rsid w:val="005B59FA"/>
    <w:pPr>
      <w:tabs>
        <w:tab w:val="center" w:pos="4536"/>
        <w:tab w:val="right" w:pos="9072"/>
      </w:tabs>
    </w:pPr>
  </w:style>
  <w:style w:type="character" w:customStyle="1" w:styleId="PodnojeChar">
    <w:name w:val="Podnožje Char"/>
    <w:link w:val="Podnoje"/>
    <w:uiPriority w:val="99"/>
    <w:rsid w:val="005B59FA"/>
    <w:rPr>
      <w:sz w:val="24"/>
      <w:szCs w:val="24"/>
    </w:rPr>
  </w:style>
  <w:style w:type="paragraph" w:styleId="Podnaslov">
    <w:name w:val="Subtitle"/>
    <w:basedOn w:val="Normal"/>
    <w:next w:val="Normal"/>
    <w:link w:val="PodnaslovChar"/>
    <w:uiPriority w:val="11"/>
    <w:qFormat/>
    <w:rsid w:val="00CD1CE4"/>
    <w:pPr>
      <w:numPr>
        <w:ilvl w:val="1"/>
      </w:numPr>
      <w:spacing w:after="200" w:line="276" w:lineRule="auto"/>
    </w:pPr>
    <w:rPr>
      <w:rFonts w:ascii="Cambria" w:hAnsi="Cambria"/>
      <w:i/>
      <w:iCs/>
      <w:color w:val="4F81BD"/>
      <w:spacing w:val="15"/>
      <w:lang w:eastAsia="en-US"/>
    </w:rPr>
  </w:style>
  <w:style w:type="character" w:customStyle="1" w:styleId="PodnaslovChar">
    <w:name w:val="Podnaslov Char"/>
    <w:link w:val="Podnaslov"/>
    <w:uiPriority w:val="11"/>
    <w:rsid w:val="00CD1CE4"/>
    <w:rPr>
      <w:rFonts w:ascii="Cambria" w:hAnsi="Cambria"/>
      <w:i/>
      <w:iCs/>
      <w:color w:val="4F81BD"/>
      <w:spacing w:val="15"/>
      <w:sz w:val="24"/>
      <w:szCs w:val="24"/>
      <w:lang w:eastAsia="en-US"/>
    </w:rPr>
  </w:style>
  <w:style w:type="character" w:styleId="Istaknuto">
    <w:name w:val="Emphasis"/>
    <w:uiPriority w:val="20"/>
    <w:qFormat/>
    <w:rsid w:val="00CD1CE4"/>
    <w:rPr>
      <w:i/>
      <w:iCs/>
    </w:rPr>
  </w:style>
  <w:style w:type="character" w:customStyle="1" w:styleId="OdlomakpopisaChar">
    <w:name w:val="Odlomak popisa Char"/>
    <w:link w:val="Odlomakpopisa"/>
    <w:uiPriority w:val="34"/>
    <w:locked/>
    <w:rsid w:val="00CD1CE4"/>
    <w:rPr>
      <w:rFonts w:ascii="Calibri" w:eastAsia="Calibri" w:hAnsi="Calibri"/>
      <w:sz w:val="22"/>
      <w:szCs w:val="22"/>
      <w:lang w:eastAsia="en-US"/>
    </w:rPr>
  </w:style>
  <w:style w:type="table" w:styleId="Reetkatablice">
    <w:name w:val="Table Grid"/>
    <w:basedOn w:val="Obinatablica"/>
    <w:rsid w:val="00CD1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aChar">
    <w:name w:val="Tekst komentara Char"/>
    <w:link w:val="Tekstkomentara"/>
    <w:uiPriority w:val="99"/>
    <w:semiHidden/>
    <w:rsid w:val="00CD1CE4"/>
  </w:style>
  <w:style w:type="character" w:customStyle="1" w:styleId="userinputholderreadonly1">
    <w:name w:val="userinputholderreadonly1"/>
    <w:rsid w:val="00CD1CE4"/>
    <w:rPr>
      <w:rFonts w:ascii="Tahoma" w:hAnsi="Tahoma" w:cs="Tahoma" w:hint="default"/>
      <w:sz w:val="17"/>
      <w:szCs w:val="17"/>
    </w:rPr>
  </w:style>
  <w:style w:type="character" w:styleId="Hiperveza">
    <w:name w:val="Hyperlink"/>
    <w:uiPriority w:val="99"/>
    <w:unhideWhenUsed/>
    <w:rsid w:val="00CD1CE4"/>
    <w:rPr>
      <w:color w:val="FF8073"/>
      <w:u w:val="single"/>
    </w:rPr>
  </w:style>
  <w:style w:type="character" w:styleId="SlijeenaHiperveza">
    <w:name w:val="FollowedHyperlink"/>
    <w:uiPriority w:val="99"/>
    <w:unhideWhenUsed/>
    <w:rsid w:val="00CD1CE4"/>
    <w:rPr>
      <w:color w:val="800080"/>
      <w:u w:val="single"/>
    </w:rPr>
  </w:style>
  <w:style w:type="paragraph" w:customStyle="1" w:styleId="xl124">
    <w:name w:val="xl124"/>
    <w:basedOn w:val="Normal"/>
    <w:rsid w:val="00CD1CE4"/>
    <w:pPr>
      <w:pBdr>
        <w:top w:val="single" w:sz="4" w:space="0" w:color="848484"/>
        <w:left w:val="single" w:sz="4" w:space="7" w:color="848484"/>
        <w:bottom w:val="single" w:sz="4" w:space="0" w:color="848484"/>
        <w:right w:val="single" w:sz="4" w:space="0" w:color="848484"/>
      </w:pBdr>
      <w:shd w:val="clear" w:color="000000" w:fill="EFF6FB"/>
      <w:spacing w:before="100" w:beforeAutospacing="1" w:after="100" w:afterAutospacing="1"/>
      <w:ind w:firstLineChars="100" w:firstLine="100"/>
      <w:textAlignment w:val="center"/>
    </w:pPr>
    <w:rPr>
      <w:rFonts w:ascii="Arial" w:hAnsi="Arial" w:cs="Arial"/>
    </w:rPr>
  </w:style>
  <w:style w:type="paragraph" w:customStyle="1" w:styleId="xl125">
    <w:name w:val="xl125"/>
    <w:basedOn w:val="Normal"/>
    <w:rsid w:val="00CD1CE4"/>
    <w:pPr>
      <w:pBdr>
        <w:top w:val="single" w:sz="4" w:space="0" w:color="848484"/>
        <w:left w:val="single" w:sz="4" w:space="0" w:color="848484"/>
        <w:bottom w:val="single" w:sz="4" w:space="0" w:color="848484"/>
        <w:right w:val="single" w:sz="4" w:space="0" w:color="848484"/>
      </w:pBdr>
      <w:shd w:val="clear" w:color="000000" w:fill="C6C4C4"/>
      <w:spacing w:before="100" w:beforeAutospacing="1" w:after="100" w:afterAutospacing="1"/>
      <w:jc w:val="right"/>
      <w:textAlignment w:val="center"/>
    </w:pPr>
    <w:rPr>
      <w:rFonts w:ascii="Arial" w:hAnsi="Arial" w:cs="Arial"/>
    </w:rPr>
  </w:style>
  <w:style w:type="paragraph" w:customStyle="1" w:styleId="xl126">
    <w:name w:val="xl126"/>
    <w:basedOn w:val="Normal"/>
    <w:rsid w:val="00CD1CE4"/>
    <w:pPr>
      <w:pBdr>
        <w:top w:val="single" w:sz="4" w:space="0" w:color="848484"/>
        <w:left w:val="single" w:sz="4" w:space="7" w:color="848484"/>
        <w:bottom w:val="single" w:sz="4" w:space="0" w:color="848484"/>
        <w:right w:val="single" w:sz="4" w:space="0" w:color="848484"/>
      </w:pBdr>
      <w:shd w:val="clear" w:color="000000" w:fill="FFFDC1"/>
      <w:spacing w:before="100" w:beforeAutospacing="1" w:after="100" w:afterAutospacing="1"/>
      <w:ind w:firstLineChars="100" w:firstLine="100"/>
      <w:textAlignment w:val="center"/>
    </w:pPr>
    <w:rPr>
      <w:rFonts w:ascii="Arial" w:hAnsi="Arial" w:cs="Arial"/>
    </w:rPr>
  </w:style>
  <w:style w:type="paragraph" w:customStyle="1" w:styleId="xl127">
    <w:name w:val="xl127"/>
    <w:basedOn w:val="Normal"/>
    <w:rsid w:val="00CD1CE4"/>
    <w:pPr>
      <w:pBdr>
        <w:top w:val="single" w:sz="4" w:space="0" w:color="848484"/>
        <w:left w:val="single" w:sz="4" w:space="0" w:color="848484"/>
        <w:bottom w:val="single" w:sz="4" w:space="0" w:color="848484"/>
        <w:right w:val="single" w:sz="4" w:space="0" w:color="848484"/>
      </w:pBdr>
      <w:shd w:val="clear" w:color="000000" w:fill="FFFDC1"/>
      <w:spacing w:before="100" w:beforeAutospacing="1" w:after="100" w:afterAutospacing="1"/>
      <w:textAlignment w:val="center"/>
    </w:pPr>
    <w:rPr>
      <w:rFonts w:ascii="Arial" w:hAnsi="Arial" w:cs="Arial"/>
    </w:rPr>
  </w:style>
  <w:style w:type="paragraph" w:customStyle="1" w:styleId="xl128">
    <w:name w:val="xl128"/>
    <w:basedOn w:val="Normal"/>
    <w:rsid w:val="00CD1CE4"/>
    <w:pPr>
      <w:pBdr>
        <w:top w:val="single" w:sz="4" w:space="0" w:color="848484"/>
        <w:left w:val="single" w:sz="4" w:space="7" w:color="848484"/>
        <w:bottom w:val="single" w:sz="4" w:space="0" w:color="848484"/>
        <w:right w:val="single" w:sz="4" w:space="0" w:color="848484"/>
      </w:pBdr>
      <w:shd w:val="clear" w:color="000000" w:fill="B7CFE8"/>
      <w:spacing w:before="100" w:beforeAutospacing="1" w:after="100" w:afterAutospacing="1"/>
      <w:ind w:firstLineChars="100" w:firstLine="100"/>
      <w:textAlignment w:val="center"/>
    </w:pPr>
    <w:rPr>
      <w:rFonts w:ascii="Arial" w:hAnsi="Arial" w:cs="Arial"/>
    </w:rPr>
  </w:style>
  <w:style w:type="paragraph" w:customStyle="1" w:styleId="xl129">
    <w:name w:val="xl129"/>
    <w:basedOn w:val="Normal"/>
    <w:rsid w:val="00CD1CE4"/>
    <w:pPr>
      <w:pBdr>
        <w:top w:val="single" w:sz="4" w:space="0" w:color="848484"/>
        <w:left w:val="single" w:sz="4" w:space="0" w:color="848484"/>
        <w:bottom w:val="single" w:sz="4" w:space="0" w:color="848484"/>
        <w:right w:val="single" w:sz="4" w:space="0" w:color="848484"/>
      </w:pBdr>
      <w:spacing w:before="100" w:beforeAutospacing="1" w:after="100" w:afterAutospacing="1"/>
      <w:jc w:val="right"/>
      <w:textAlignment w:val="center"/>
    </w:pPr>
    <w:rPr>
      <w:rFonts w:ascii="Arial" w:hAnsi="Arial" w:cs="Arial"/>
    </w:rPr>
  </w:style>
  <w:style w:type="paragraph" w:customStyle="1" w:styleId="xl130">
    <w:name w:val="xl130"/>
    <w:basedOn w:val="Normal"/>
    <w:rsid w:val="00CD1CE4"/>
    <w:pPr>
      <w:pBdr>
        <w:top w:val="single" w:sz="4" w:space="0" w:color="848484"/>
        <w:left w:val="single" w:sz="4" w:space="7" w:color="848484"/>
        <w:bottom w:val="single" w:sz="4" w:space="0" w:color="848484"/>
        <w:right w:val="single" w:sz="4" w:space="0" w:color="848484"/>
      </w:pBdr>
      <w:shd w:val="clear" w:color="000000" w:fill="C3D6EB"/>
      <w:spacing w:before="100" w:beforeAutospacing="1" w:after="100" w:afterAutospacing="1"/>
      <w:ind w:firstLineChars="100" w:firstLine="100"/>
      <w:textAlignment w:val="center"/>
    </w:pPr>
    <w:rPr>
      <w:rFonts w:ascii="Arial" w:hAnsi="Arial" w:cs="Arial"/>
    </w:rPr>
  </w:style>
  <w:style w:type="paragraph" w:customStyle="1" w:styleId="xl131">
    <w:name w:val="xl131"/>
    <w:basedOn w:val="Normal"/>
    <w:rsid w:val="00CD1CE4"/>
    <w:pPr>
      <w:pBdr>
        <w:top w:val="single" w:sz="4" w:space="0" w:color="848484"/>
        <w:left w:val="single" w:sz="4" w:space="7" w:color="848484"/>
        <w:bottom w:val="single" w:sz="4" w:space="0" w:color="848484"/>
        <w:right w:val="single" w:sz="4" w:space="0" w:color="848484"/>
      </w:pBdr>
      <w:shd w:val="clear" w:color="000000" w:fill="EFF6FB"/>
      <w:spacing w:before="100" w:beforeAutospacing="1" w:after="100" w:afterAutospacing="1"/>
      <w:ind w:firstLineChars="100" w:firstLine="100"/>
      <w:textAlignment w:val="center"/>
    </w:pPr>
    <w:rPr>
      <w:rFonts w:ascii="Arial" w:hAnsi="Arial" w:cs="Arial"/>
    </w:rPr>
  </w:style>
  <w:style w:type="paragraph" w:customStyle="1" w:styleId="xl132">
    <w:name w:val="xl132"/>
    <w:basedOn w:val="Normal"/>
    <w:rsid w:val="00CD1CE4"/>
    <w:pPr>
      <w:pBdr>
        <w:top w:val="single" w:sz="4" w:space="0" w:color="848484"/>
        <w:left w:val="single" w:sz="4" w:space="14" w:color="848484"/>
        <w:bottom w:val="single" w:sz="4" w:space="0" w:color="848484"/>
        <w:right w:val="single" w:sz="4" w:space="0" w:color="848484"/>
      </w:pBdr>
      <w:shd w:val="clear" w:color="000000" w:fill="B7CFE8"/>
      <w:spacing w:before="100" w:beforeAutospacing="1" w:after="100" w:afterAutospacing="1"/>
      <w:ind w:firstLineChars="200" w:firstLine="200"/>
      <w:textAlignment w:val="center"/>
    </w:pPr>
    <w:rPr>
      <w:rFonts w:ascii="Arial" w:hAnsi="Arial" w:cs="Arial"/>
    </w:rPr>
  </w:style>
  <w:style w:type="paragraph" w:customStyle="1" w:styleId="xl133">
    <w:name w:val="xl133"/>
    <w:basedOn w:val="Normal"/>
    <w:rsid w:val="00CD1CE4"/>
    <w:pPr>
      <w:pBdr>
        <w:top w:val="single" w:sz="4" w:space="0" w:color="848484"/>
        <w:left w:val="single" w:sz="4" w:space="0" w:color="848484"/>
        <w:bottom w:val="single" w:sz="4" w:space="0" w:color="848484"/>
        <w:right w:val="single" w:sz="4" w:space="0" w:color="848484"/>
      </w:pBdr>
      <w:spacing w:before="100" w:beforeAutospacing="1" w:after="100" w:afterAutospacing="1"/>
      <w:jc w:val="right"/>
      <w:textAlignment w:val="center"/>
    </w:pPr>
    <w:rPr>
      <w:rFonts w:ascii="Arial" w:hAnsi="Arial" w:cs="Arial"/>
    </w:rPr>
  </w:style>
  <w:style w:type="paragraph" w:customStyle="1" w:styleId="xl134">
    <w:name w:val="xl134"/>
    <w:basedOn w:val="Normal"/>
    <w:rsid w:val="00CD1CE4"/>
    <w:pPr>
      <w:pBdr>
        <w:top w:val="single" w:sz="4" w:space="0" w:color="848484"/>
        <w:left w:val="single" w:sz="4" w:space="0" w:color="848484"/>
        <w:bottom w:val="single" w:sz="4" w:space="0" w:color="848484"/>
        <w:right w:val="single" w:sz="4" w:space="0" w:color="848484"/>
      </w:pBdr>
      <w:shd w:val="clear" w:color="000000" w:fill="FFFDC1"/>
      <w:spacing w:before="100" w:beforeAutospacing="1" w:after="100" w:afterAutospacing="1"/>
      <w:textAlignment w:val="center"/>
    </w:pPr>
    <w:rPr>
      <w:rFonts w:ascii="Arial" w:hAnsi="Arial" w:cs="Arial"/>
    </w:rPr>
  </w:style>
  <w:style w:type="paragraph" w:customStyle="1" w:styleId="xl135">
    <w:name w:val="xl135"/>
    <w:basedOn w:val="Normal"/>
    <w:rsid w:val="00CD1CE4"/>
    <w:pPr>
      <w:pBdr>
        <w:top w:val="single" w:sz="4" w:space="0" w:color="848484"/>
        <w:left w:val="single" w:sz="4" w:space="7" w:color="848484"/>
        <w:bottom w:val="single" w:sz="4" w:space="0" w:color="848484"/>
        <w:right w:val="single" w:sz="4" w:space="0" w:color="848484"/>
      </w:pBdr>
      <w:shd w:val="clear" w:color="000000" w:fill="D5E3F2"/>
      <w:spacing w:before="100" w:beforeAutospacing="1" w:after="100" w:afterAutospacing="1"/>
      <w:ind w:firstLineChars="100" w:firstLine="100"/>
      <w:textAlignment w:val="center"/>
    </w:pPr>
    <w:rPr>
      <w:rFonts w:ascii="Arial" w:hAnsi="Arial" w:cs="Arial"/>
    </w:rPr>
  </w:style>
  <w:style w:type="paragraph" w:customStyle="1" w:styleId="xl136">
    <w:name w:val="xl136"/>
    <w:basedOn w:val="Normal"/>
    <w:rsid w:val="00CD1CE4"/>
    <w:pPr>
      <w:pBdr>
        <w:top w:val="single" w:sz="4" w:space="0" w:color="848484"/>
        <w:left w:val="single" w:sz="4" w:space="7" w:color="848484"/>
        <w:bottom w:val="single" w:sz="4" w:space="0" w:color="848484"/>
        <w:right w:val="single" w:sz="4" w:space="0" w:color="848484"/>
      </w:pBdr>
      <w:shd w:val="clear" w:color="000000" w:fill="D5E3F2"/>
      <w:spacing w:before="100" w:beforeAutospacing="1" w:after="100" w:afterAutospacing="1"/>
      <w:ind w:firstLineChars="100" w:firstLine="100"/>
      <w:textAlignment w:val="center"/>
    </w:pPr>
    <w:rPr>
      <w:rFonts w:ascii="Arial" w:hAnsi="Arial" w:cs="Arial"/>
    </w:rPr>
  </w:style>
  <w:style w:type="paragraph" w:customStyle="1" w:styleId="xl137">
    <w:name w:val="xl137"/>
    <w:basedOn w:val="Normal"/>
    <w:rsid w:val="00CD1CE4"/>
    <w:pPr>
      <w:pBdr>
        <w:top w:val="single" w:sz="4" w:space="0" w:color="848484"/>
        <w:left w:val="single" w:sz="4" w:space="0" w:color="848484"/>
        <w:bottom w:val="single" w:sz="4" w:space="0" w:color="848484"/>
        <w:right w:val="single" w:sz="4" w:space="0" w:color="848484"/>
      </w:pBdr>
      <w:spacing w:before="100" w:beforeAutospacing="1" w:after="100" w:afterAutospacing="1"/>
      <w:jc w:val="right"/>
      <w:textAlignment w:val="center"/>
    </w:pPr>
    <w:rPr>
      <w:rFonts w:ascii="Arial" w:hAnsi="Arial" w:cs="Arial"/>
    </w:rPr>
  </w:style>
  <w:style w:type="paragraph" w:customStyle="1" w:styleId="xl138">
    <w:name w:val="xl138"/>
    <w:basedOn w:val="Normal"/>
    <w:rsid w:val="00CD1CE4"/>
    <w:pPr>
      <w:pBdr>
        <w:top w:val="single" w:sz="4" w:space="0" w:color="848484"/>
        <w:left w:val="single" w:sz="4" w:space="20" w:color="848484"/>
        <w:bottom w:val="single" w:sz="4" w:space="0" w:color="848484"/>
        <w:right w:val="single" w:sz="4" w:space="0" w:color="848484"/>
      </w:pBdr>
      <w:shd w:val="clear" w:color="000000" w:fill="C3D6EB"/>
      <w:spacing w:before="100" w:beforeAutospacing="1" w:after="100" w:afterAutospacing="1"/>
      <w:ind w:firstLineChars="300" w:firstLine="300"/>
      <w:textAlignment w:val="center"/>
    </w:pPr>
    <w:rPr>
      <w:rFonts w:ascii="Arial" w:hAnsi="Arial" w:cs="Arial"/>
    </w:rPr>
  </w:style>
  <w:style w:type="paragraph" w:customStyle="1" w:styleId="xl139">
    <w:name w:val="xl139"/>
    <w:basedOn w:val="Normal"/>
    <w:rsid w:val="00CD1CE4"/>
    <w:pPr>
      <w:pBdr>
        <w:top w:val="single" w:sz="4" w:space="0" w:color="848484"/>
        <w:left w:val="single" w:sz="4" w:space="27" w:color="848484"/>
        <w:bottom w:val="single" w:sz="4" w:space="0" w:color="848484"/>
        <w:right w:val="single" w:sz="4" w:space="0" w:color="848484"/>
      </w:pBdr>
      <w:shd w:val="clear" w:color="000000" w:fill="D5E3F2"/>
      <w:spacing w:before="100" w:beforeAutospacing="1" w:after="100" w:afterAutospacing="1"/>
      <w:ind w:firstLineChars="400" w:firstLine="400"/>
      <w:textAlignment w:val="center"/>
    </w:pPr>
    <w:rPr>
      <w:rFonts w:ascii="Arial" w:hAnsi="Arial" w:cs="Arial"/>
    </w:rPr>
  </w:style>
  <w:style w:type="paragraph" w:customStyle="1" w:styleId="xl140">
    <w:name w:val="xl140"/>
    <w:basedOn w:val="Normal"/>
    <w:rsid w:val="00CD1CE4"/>
    <w:pPr>
      <w:pBdr>
        <w:top w:val="single" w:sz="4" w:space="0" w:color="848484"/>
        <w:left w:val="single" w:sz="4" w:space="31" w:color="848484"/>
        <w:bottom w:val="single" w:sz="4" w:space="0" w:color="848484"/>
        <w:right w:val="single" w:sz="4" w:space="0" w:color="848484"/>
      </w:pBdr>
      <w:shd w:val="clear" w:color="000000" w:fill="D5E3F2"/>
      <w:spacing w:before="100" w:beforeAutospacing="1" w:after="100" w:afterAutospacing="1"/>
      <w:ind w:firstLineChars="500" w:firstLine="500"/>
      <w:textAlignment w:val="center"/>
    </w:pPr>
    <w:rPr>
      <w:rFonts w:ascii="Arial" w:hAnsi="Arial" w:cs="Arial"/>
    </w:rPr>
  </w:style>
  <w:style w:type="paragraph" w:customStyle="1" w:styleId="xmsonormal">
    <w:name w:val="x_msonormal"/>
    <w:basedOn w:val="Normal"/>
    <w:uiPriority w:val="99"/>
    <w:rsid w:val="00CD1CE4"/>
  </w:style>
  <w:style w:type="character" w:customStyle="1" w:styleId="Naslov3Char">
    <w:name w:val="Naslov 3 Char"/>
    <w:link w:val="Naslov3"/>
    <w:uiPriority w:val="99"/>
    <w:rsid w:val="00641296"/>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3547">
      <w:bodyDiv w:val="1"/>
      <w:marLeft w:val="0"/>
      <w:marRight w:val="0"/>
      <w:marTop w:val="0"/>
      <w:marBottom w:val="0"/>
      <w:divBdr>
        <w:top w:val="none" w:sz="0" w:space="0" w:color="auto"/>
        <w:left w:val="none" w:sz="0" w:space="0" w:color="auto"/>
        <w:bottom w:val="none" w:sz="0" w:space="0" w:color="auto"/>
        <w:right w:val="none" w:sz="0" w:space="0" w:color="auto"/>
      </w:divBdr>
    </w:div>
    <w:div w:id="351996293">
      <w:bodyDiv w:val="1"/>
      <w:marLeft w:val="0"/>
      <w:marRight w:val="0"/>
      <w:marTop w:val="0"/>
      <w:marBottom w:val="0"/>
      <w:divBdr>
        <w:top w:val="none" w:sz="0" w:space="0" w:color="auto"/>
        <w:left w:val="none" w:sz="0" w:space="0" w:color="auto"/>
        <w:bottom w:val="none" w:sz="0" w:space="0" w:color="auto"/>
        <w:right w:val="none" w:sz="0" w:space="0" w:color="auto"/>
      </w:divBdr>
      <w:divsChild>
        <w:div w:id="1485390303">
          <w:marLeft w:val="0"/>
          <w:marRight w:val="0"/>
          <w:marTop w:val="0"/>
          <w:marBottom w:val="0"/>
          <w:divBdr>
            <w:top w:val="none" w:sz="0" w:space="0" w:color="auto"/>
            <w:left w:val="none" w:sz="0" w:space="0" w:color="auto"/>
            <w:bottom w:val="none" w:sz="0" w:space="0" w:color="auto"/>
            <w:right w:val="none" w:sz="0" w:space="0" w:color="auto"/>
          </w:divBdr>
          <w:divsChild>
            <w:div w:id="124440926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92630117">
      <w:bodyDiv w:val="1"/>
      <w:marLeft w:val="0"/>
      <w:marRight w:val="0"/>
      <w:marTop w:val="0"/>
      <w:marBottom w:val="0"/>
      <w:divBdr>
        <w:top w:val="none" w:sz="0" w:space="0" w:color="auto"/>
        <w:left w:val="none" w:sz="0" w:space="0" w:color="auto"/>
        <w:bottom w:val="none" w:sz="0" w:space="0" w:color="auto"/>
        <w:right w:val="none" w:sz="0" w:space="0" w:color="auto"/>
      </w:divBdr>
    </w:div>
    <w:div w:id="773525134">
      <w:bodyDiv w:val="1"/>
      <w:marLeft w:val="0"/>
      <w:marRight w:val="0"/>
      <w:marTop w:val="0"/>
      <w:marBottom w:val="0"/>
      <w:divBdr>
        <w:top w:val="none" w:sz="0" w:space="0" w:color="auto"/>
        <w:left w:val="none" w:sz="0" w:space="0" w:color="auto"/>
        <w:bottom w:val="none" w:sz="0" w:space="0" w:color="auto"/>
        <w:right w:val="none" w:sz="0" w:space="0" w:color="auto"/>
      </w:divBdr>
      <w:divsChild>
        <w:div w:id="112486258">
          <w:marLeft w:val="0"/>
          <w:marRight w:val="0"/>
          <w:marTop w:val="0"/>
          <w:marBottom w:val="0"/>
          <w:divBdr>
            <w:top w:val="none" w:sz="0" w:space="0" w:color="auto"/>
            <w:left w:val="none" w:sz="0" w:space="0" w:color="auto"/>
            <w:bottom w:val="none" w:sz="0" w:space="0" w:color="auto"/>
            <w:right w:val="none" w:sz="0" w:space="0" w:color="auto"/>
          </w:divBdr>
          <w:divsChild>
            <w:div w:id="160145102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38099844">
      <w:bodyDiv w:val="1"/>
      <w:marLeft w:val="0"/>
      <w:marRight w:val="0"/>
      <w:marTop w:val="0"/>
      <w:marBottom w:val="0"/>
      <w:divBdr>
        <w:top w:val="none" w:sz="0" w:space="0" w:color="auto"/>
        <w:left w:val="none" w:sz="0" w:space="0" w:color="auto"/>
        <w:bottom w:val="none" w:sz="0" w:space="0" w:color="auto"/>
        <w:right w:val="none" w:sz="0" w:space="0" w:color="auto"/>
      </w:divBdr>
    </w:div>
    <w:div w:id="945426032">
      <w:bodyDiv w:val="1"/>
      <w:marLeft w:val="0"/>
      <w:marRight w:val="0"/>
      <w:marTop w:val="0"/>
      <w:marBottom w:val="0"/>
      <w:divBdr>
        <w:top w:val="none" w:sz="0" w:space="0" w:color="auto"/>
        <w:left w:val="none" w:sz="0" w:space="0" w:color="auto"/>
        <w:bottom w:val="none" w:sz="0" w:space="0" w:color="auto"/>
        <w:right w:val="none" w:sz="0" w:space="0" w:color="auto"/>
      </w:divBdr>
    </w:div>
    <w:div w:id="1172797660">
      <w:bodyDiv w:val="1"/>
      <w:marLeft w:val="0"/>
      <w:marRight w:val="0"/>
      <w:marTop w:val="0"/>
      <w:marBottom w:val="0"/>
      <w:divBdr>
        <w:top w:val="none" w:sz="0" w:space="0" w:color="auto"/>
        <w:left w:val="none" w:sz="0" w:space="0" w:color="auto"/>
        <w:bottom w:val="none" w:sz="0" w:space="0" w:color="auto"/>
        <w:right w:val="none" w:sz="0" w:space="0" w:color="auto"/>
      </w:divBdr>
    </w:div>
    <w:div w:id="1444225142">
      <w:bodyDiv w:val="1"/>
      <w:marLeft w:val="0"/>
      <w:marRight w:val="0"/>
      <w:marTop w:val="0"/>
      <w:marBottom w:val="0"/>
      <w:divBdr>
        <w:top w:val="none" w:sz="0" w:space="0" w:color="auto"/>
        <w:left w:val="none" w:sz="0" w:space="0" w:color="auto"/>
        <w:bottom w:val="none" w:sz="0" w:space="0" w:color="auto"/>
        <w:right w:val="none" w:sz="0" w:space="0" w:color="auto"/>
      </w:divBdr>
    </w:div>
    <w:div w:id="1876431531">
      <w:bodyDiv w:val="1"/>
      <w:marLeft w:val="0"/>
      <w:marRight w:val="0"/>
      <w:marTop w:val="0"/>
      <w:marBottom w:val="0"/>
      <w:divBdr>
        <w:top w:val="none" w:sz="0" w:space="0" w:color="auto"/>
        <w:left w:val="none" w:sz="0" w:space="0" w:color="auto"/>
        <w:bottom w:val="none" w:sz="0" w:space="0" w:color="auto"/>
        <w:right w:val="none" w:sz="0" w:space="0" w:color="auto"/>
      </w:divBdr>
    </w:div>
    <w:div w:id="210510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Lbls>
            <c:dLbl>
              <c:idx val="5"/>
              <c:tx>
                <c:rich>
                  <a:bodyPr/>
                  <a:lstStyle/>
                  <a:p>
                    <a:r>
                      <a:rPr lang="vi-VN"/>
                      <a:t>37 Naknade građanima i kućanstvima na temelju osiguranja i druge naknade 36,3%</a:t>
                    </a:r>
                  </a:p>
                </c:rich>
              </c:tx>
              <c:showLegendKey val="0"/>
              <c:showVal val="0"/>
              <c:showCatName val="0"/>
              <c:showSerName val="0"/>
              <c:showPercent val="0"/>
              <c:showBubbleSize val="0"/>
            </c:dLbl>
            <c:numFmt formatCode="0.0%" sourceLinked="0"/>
            <c:txPr>
              <a:bodyPr/>
              <a:lstStyle/>
              <a:p>
                <a:pPr>
                  <a:defRPr sz="1000" b="0" i="0" u="none" strike="noStrike" baseline="0">
                    <a:solidFill>
                      <a:srgbClr val="000000"/>
                    </a:solidFill>
                    <a:latin typeface="Calibri"/>
                    <a:ea typeface="Calibri"/>
                    <a:cs typeface="Calibri"/>
                  </a:defRPr>
                </a:pPr>
                <a:endParaRPr lang="sr-Latn-RS"/>
              </a:p>
            </c:txPr>
            <c:showLegendKey val="0"/>
            <c:showVal val="0"/>
            <c:showCatName val="1"/>
            <c:showSerName val="0"/>
            <c:showPercent val="1"/>
            <c:showBubbleSize val="0"/>
            <c:separator> </c:separator>
            <c:showLeaderLines val="1"/>
          </c:dLbls>
          <c:cat>
            <c:strRef>
              <c:f>'T0001 (2)'!$H$19:$H$25</c:f>
              <c:strCache>
                <c:ptCount val="7"/>
                <c:pt idx="0">
                  <c:v>31 Rashodi za zaposlene</c:v>
                </c:pt>
                <c:pt idx="1">
                  <c:v>32 Materijalni rashodi</c:v>
                </c:pt>
                <c:pt idx="2">
                  <c:v>34 Financijski rashodi</c:v>
                </c:pt>
                <c:pt idx="3">
                  <c:v>35 Subvencije</c:v>
                </c:pt>
                <c:pt idx="4">
                  <c:v>36 Pomoći dane u inozemstvo i unutar općeg proračuna</c:v>
                </c:pt>
                <c:pt idx="5">
                  <c:v>37 Naknade građanima i kućanstvima na temelju osiguranja i druge naknade</c:v>
                </c:pt>
                <c:pt idx="6">
                  <c:v>38 Ostali rashodi</c:v>
                </c:pt>
              </c:strCache>
            </c:strRef>
          </c:cat>
          <c:val>
            <c:numRef>
              <c:f>'T0001 (2)'!$I$19:$I$25</c:f>
              <c:numCache>
                <c:formatCode>#,##0.0</c:formatCode>
                <c:ptCount val="7"/>
                <c:pt idx="0">
                  <c:v>21.786635828081206</c:v>
                </c:pt>
                <c:pt idx="1">
                  <c:v>10.793303630725145</c:v>
                </c:pt>
                <c:pt idx="2">
                  <c:v>8.009398319087957</c:v>
                </c:pt>
                <c:pt idx="3">
                  <c:v>5.2943334695185014</c:v>
                </c:pt>
                <c:pt idx="4">
                  <c:v>11.816479914322992</c:v>
                </c:pt>
                <c:pt idx="5">
                  <c:v>36.255470584294855</c:v>
                </c:pt>
                <c:pt idx="6">
                  <c:v>6.0443782539693451</c:v>
                </c:pt>
              </c:numCache>
            </c:numRef>
          </c:val>
        </c:ser>
        <c:dLbls>
          <c:showLegendKey val="0"/>
          <c:showVal val="0"/>
          <c:showCatName val="0"/>
          <c:showSerName val="0"/>
          <c:showPercent val="0"/>
          <c:showBubbleSize val="0"/>
          <c:showLeaderLines val="1"/>
        </c:dLbls>
      </c:pie3DChart>
      <c:spPr>
        <a:noFill/>
        <a:ln w="25404">
          <a:noFill/>
        </a:ln>
      </c:spPr>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0FB4-4B8F-A054-445CF161F0EC}"/>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0FB4-4B8F-A054-445CF161F0EC}"/>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0FB4-4B8F-A054-445CF161F0EC}"/>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0FB4-4B8F-A054-445CF161F0EC}"/>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0FB4-4B8F-A054-445CF161F0EC}"/>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0FB4-4B8F-A054-445CF161F0EC}"/>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0FB4-4B8F-A054-445CF161F0EC}"/>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0FB4-4B8F-A054-445CF161F0EC}"/>
              </c:ext>
            </c:extLst>
          </c:dPt>
          <c:dPt>
            <c:idx val="8"/>
            <c:bubble3D val="0"/>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0FB4-4B8F-A054-445CF161F0EC}"/>
              </c:ext>
            </c:extLst>
          </c:dPt>
          <c:dPt>
            <c:idx val="9"/>
            <c:bubble3D val="0"/>
            <c:spPr>
              <a:solidFill>
                <a:schemeClr val="accent4">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0FB4-4B8F-A054-445CF161F0EC}"/>
              </c:ext>
            </c:extLst>
          </c:dPt>
          <c:dLbls>
            <c:dLbl>
              <c:idx val="0"/>
              <c:layout/>
              <c:tx>
                <c:rich>
                  <a:bodyPr/>
                  <a:lstStyle/>
                  <a:p>
                    <a:fld id="{A7EA6BA6-A9CA-4CF1-91F7-791A36AA5CFE}" type="CATEGORYNAME">
                      <a:rPr lang="en-US"/>
                      <a:pPr/>
                      <a:t>[NAZIV KATEGORIJE]</a:t>
                    </a:fld>
                    <a:r>
                      <a:rPr lang="en-US" baseline="0"/>
                      <a:t>; </a:t>
                    </a:r>
                    <a:fld id="{1B37DF9B-FF4B-478E-843D-DCE90D61F7D3}" type="VALUE">
                      <a:rPr lang="en-US" baseline="0"/>
                      <a:pPr/>
                      <a:t>[VRIJEDNOST]</a:t>
                    </a:fld>
                    <a:r>
                      <a:rPr lang="en-US" baseline="0"/>
                      <a:t>% </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1-0FB4-4B8F-A054-445CF161F0EC}"/>
                </c:ext>
              </c:extLst>
            </c:dLbl>
            <c:dLbl>
              <c:idx val="1"/>
              <c:layout/>
              <c:tx>
                <c:rich>
                  <a:bodyPr/>
                  <a:lstStyle/>
                  <a:p>
                    <a:fld id="{4A233A1F-589B-42C4-9436-D9235D7B809A}" type="CATEGORYNAME">
                      <a:rPr lang="en-US"/>
                      <a:pPr/>
                      <a:t>[NAZIV KATEGORIJE]</a:t>
                    </a:fld>
                    <a:r>
                      <a:rPr lang="en-US" baseline="0"/>
                      <a:t>; </a:t>
                    </a:r>
                    <a:fld id="{41A3A62E-FD25-4AB7-94B1-E8C2EDFC8BF9}" type="VALUE">
                      <a:rPr lang="en-US" baseline="0"/>
                      <a:pPr/>
                      <a:t>[VRIJEDNOST]</a:t>
                    </a:fld>
                    <a:r>
                      <a:rPr lang="en-US" baseline="0"/>
                      <a:t>%</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3-0FB4-4B8F-A054-445CF161F0EC}"/>
                </c:ext>
              </c:extLst>
            </c:dLbl>
            <c:dLbl>
              <c:idx val="2"/>
              <c:layout/>
              <c:tx>
                <c:rich>
                  <a:bodyPr/>
                  <a:lstStyle/>
                  <a:p>
                    <a:fld id="{A68EC0EA-54C4-495D-9AA8-8C361157ED81}" type="CATEGORYNAME">
                      <a:rPr lang="en-US"/>
                      <a:pPr/>
                      <a:t>[NAZIV KATEGORIJE]</a:t>
                    </a:fld>
                    <a:r>
                      <a:rPr lang="en-US" baseline="0"/>
                      <a:t>; </a:t>
                    </a:r>
                    <a:fld id="{40516233-0399-4B92-8C56-C3324CEA0736}" type="VALUE">
                      <a:rPr lang="en-US" baseline="0"/>
                      <a:pPr/>
                      <a:t>[VRIJEDNOST]</a:t>
                    </a:fld>
                    <a:r>
                      <a:rPr lang="en-US" baseline="0"/>
                      <a:t>% </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5-0FB4-4B8F-A054-445CF161F0EC}"/>
                </c:ext>
              </c:extLst>
            </c:dLbl>
            <c:dLbl>
              <c:idx val="3"/>
              <c:layout/>
              <c:tx>
                <c:rich>
                  <a:bodyPr/>
                  <a:lstStyle/>
                  <a:p>
                    <a:fld id="{B7BD69B4-4A6D-4A73-8CD9-C7DB23D5AA9E}" type="CATEGORYNAME">
                      <a:rPr lang="en-US"/>
                      <a:pPr/>
                      <a:t>[NAZIV KATEGORIJE]</a:t>
                    </a:fld>
                    <a:r>
                      <a:rPr lang="en-US" baseline="0"/>
                      <a:t>; </a:t>
                    </a:r>
                    <a:fld id="{F9010557-09B3-457F-9E67-C93882314E3A}" type="VALUE">
                      <a:rPr lang="en-US" baseline="0"/>
                      <a:pPr/>
                      <a:t>[VRIJEDNOST]</a:t>
                    </a:fld>
                    <a:r>
                      <a:rPr lang="en-US" baseline="0"/>
                      <a:t>%</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7-0FB4-4B8F-A054-445CF161F0EC}"/>
                </c:ext>
              </c:extLst>
            </c:dLbl>
            <c:dLbl>
              <c:idx val="4"/>
              <c:layout/>
              <c:tx>
                <c:rich>
                  <a:bodyPr/>
                  <a:lstStyle/>
                  <a:p>
                    <a:fld id="{E096C842-3988-407F-8FB5-8BE2550CAA9C}" type="CATEGORYNAME">
                      <a:rPr lang="en-US"/>
                      <a:pPr/>
                      <a:t>[NAZIV KATEGORIJE]</a:t>
                    </a:fld>
                    <a:r>
                      <a:rPr lang="en-US" baseline="0"/>
                      <a:t>; </a:t>
                    </a:r>
                    <a:fld id="{83989D52-EFE1-47ED-B4C3-74C502504880}" type="VALUE">
                      <a:rPr lang="en-US" baseline="0"/>
                      <a:pPr/>
                      <a:t>[VRIJEDNOST]</a:t>
                    </a:fld>
                    <a:r>
                      <a:rPr lang="en-US" baseline="0"/>
                      <a:t>%</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9-0FB4-4B8F-A054-445CF161F0EC}"/>
                </c:ext>
              </c:extLst>
            </c:dLbl>
            <c:dLbl>
              <c:idx val="5"/>
              <c:layout/>
              <c:tx>
                <c:rich>
                  <a:bodyPr/>
                  <a:lstStyle/>
                  <a:p>
                    <a:fld id="{57409B9F-B574-45A8-A959-F759991472B1}" type="CATEGORYNAME">
                      <a:rPr lang="en-US"/>
                      <a:pPr/>
                      <a:t>[NAZIV KATEGORIJE]</a:t>
                    </a:fld>
                    <a:r>
                      <a:rPr lang="en-US" baseline="0"/>
                      <a:t>; </a:t>
                    </a:r>
                    <a:fld id="{06FE7EC6-57D3-4454-B357-8B01D22AC6E8}" type="VALUE">
                      <a:rPr lang="en-US" baseline="0"/>
                      <a:pPr/>
                      <a:t>[VRIJEDNOST]</a:t>
                    </a:fld>
                    <a:r>
                      <a:rPr lang="en-US" baseline="0"/>
                      <a:t>%</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B-0FB4-4B8F-A054-445CF161F0EC}"/>
                </c:ext>
              </c:extLst>
            </c:dLbl>
            <c:dLbl>
              <c:idx val="6"/>
              <c:layout>
                <c:manualLayout>
                  <c:x val="-1.3367372047244095E-2"/>
                  <c:y val="1.5631311510973817E-2"/>
                </c:manualLayout>
              </c:layout>
              <c:tx>
                <c:rich>
                  <a:bodyPr/>
                  <a:lstStyle/>
                  <a:p>
                    <a:fld id="{E189FF18-3DAB-4BF3-87EC-4CE506B5C311}" type="CATEGORYNAME">
                      <a:rPr lang="en-US"/>
                      <a:pPr/>
                      <a:t>[NAZIV KATEGORIJE]</a:t>
                    </a:fld>
                    <a:r>
                      <a:rPr lang="en-US" baseline="0"/>
                      <a:t>; </a:t>
                    </a:r>
                    <a:fld id="{29AA2D94-73D7-4829-B58E-8A2B14C127DC}" type="VALUE">
                      <a:rPr lang="en-US" baseline="0"/>
                      <a:pPr/>
                      <a:t>[VRIJEDNOST]</a:t>
                    </a:fld>
                    <a:r>
                      <a:rPr lang="en-US" baseline="0"/>
                      <a:t>%</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D-0FB4-4B8F-A054-445CF161F0EC}"/>
                </c:ext>
              </c:extLst>
            </c:dLbl>
            <c:dLbl>
              <c:idx val="7"/>
              <c:layout/>
              <c:tx>
                <c:rich>
                  <a:bodyPr/>
                  <a:lstStyle/>
                  <a:p>
                    <a:fld id="{4F77DD17-65B2-4A4F-AA25-0319A3681903}" type="CATEGORYNAME">
                      <a:rPr lang="en-US"/>
                      <a:pPr/>
                      <a:t>[NAZIV KATEGORIJE]</a:t>
                    </a:fld>
                    <a:r>
                      <a:rPr lang="en-US" baseline="0"/>
                      <a:t>; </a:t>
                    </a:r>
                    <a:fld id="{B29AB925-79B3-45B4-8462-0101FD0AB611}" type="VALUE">
                      <a:rPr lang="en-US" baseline="0"/>
                      <a:pPr/>
                      <a:t>[VRIJEDNOST]</a:t>
                    </a:fld>
                    <a:r>
                      <a:rPr lang="en-US" baseline="0"/>
                      <a:t>%</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F-0FB4-4B8F-A054-445CF161F0EC}"/>
                </c:ext>
              </c:extLst>
            </c:dLbl>
            <c:dLbl>
              <c:idx val="8"/>
              <c:layout>
                <c:manualLayout>
                  <c:x val="-2.1270180582895887E-2"/>
                  <c:y val="4.6017006896256714E-2"/>
                </c:manualLayout>
              </c:layout>
              <c:tx>
                <c:rich>
                  <a:bodyPr/>
                  <a:lstStyle/>
                  <a:p>
                    <a:fld id="{DE86D82E-1533-460B-BEF1-F540FD3E3F7C}" type="CATEGORYNAME">
                      <a:rPr lang="en-US"/>
                      <a:pPr/>
                      <a:t>[NAZIV KATEGORIJE]</a:t>
                    </a:fld>
                    <a:r>
                      <a:rPr lang="en-US" baseline="0"/>
                      <a:t>; </a:t>
                    </a:r>
                    <a:fld id="{6D141BE6-2C6F-4DBC-AC30-937A1A0F1247}" type="VALUE">
                      <a:rPr lang="en-US" baseline="0"/>
                      <a:pPr/>
                      <a:t>[VRIJEDNOST]</a:t>
                    </a:fld>
                    <a:r>
                      <a:rPr lang="en-US" baseline="0"/>
                      <a:t>%</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11-0FB4-4B8F-A054-445CF161F0EC}"/>
                </c:ext>
              </c:extLst>
            </c:dLbl>
            <c:dLbl>
              <c:idx val="9"/>
              <c:layout>
                <c:manualLayout>
                  <c:x val="0.18483517197069116"/>
                  <c:y val="-0.191413747903165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B4F2303D-FA3A-4E26-BE15-C7D2D00FDBEC}" type="CATEGORYNAME">
                      <a:rPr lang="en-US"/>
                      <a:pPr>
                        <a:defRPr sz="900" b="0" i="0" u="none" strike="noStrike" kern="1200" baseline="0">
                          <a:solidFill>
                            <a:schemeClr val="tx1">
                              <a:lumMod val="75000"/>
                              <a:lumOff val="25000"/>
                            </a:schemeClr>
                          </a:solidFill>
                          <a:latin typeface="+mn-lt"/>
                          <a:ea typeface="+mn-ea"/>
                          <a:cs typeface="+mn-cs"/>
                        </a:defRPr>
                      </a:pPr>
                      <a:t>[NAZIV KATEGORIJE]</a:t>
                    </a:fld>
                    <a:r>
                      <a:rPr lang="en-US" baseline="0"/>
                      <a:t>; </a:t>
                    </a:r>
                    <a:fld id="{B760C183-9A3E-44C1-BD6F-F906834C0A15}" type="VALUE">
                      <a:rPr lang="en-US" baseline="0"/>
                      <a:pPr>
                        <a:defRPr sz="900" b="0" i="0" u="none" strike="noStrike" kern="1200" baseline="0">
                          <a:solidFill>
                            <a:schemeClr val="tx1">
                              <a:lumMod val="75000"/>
                              <a:lumOff val="25000"/>
                            </a:schemeClr>
                          </a:solidFill>
                          <a:latin typeface="+mn-lt"/>
                          <a:ea typeface="+mn-ea"/>
                          <a:cs typeface="+mn-cs"/>
                        </a:defRPr>
                      </a:pPr>
                      <a:t>[VRIJEDNOST]</a:t>
                    </a:fld>
                    <a:r>
                      <a:rPr lang="en-US" baseline="0"/>
                      <a:t>%</a:t>
                    </a:r>
                  </a:p>
                </c:rich>
              </c:tx>
              <c:spPr>
                <a:noFill/>
                <a:ln>
                  <a:noFill/>
                </a:ln>
                <a:effectLst/>
              </c:spPr>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manualLayout>
                      <c:w val="0.25285381807742779"/>
                      <c:h val="6.2029644431815058E-2"/>
                    </c:manualLayout>
                  </c15:layout>
                  <c15:dlblFieldTable/>
                  <c15:showDataLabelsRange val="0"/>
                </c:ext>
                <c:ext xmlns:c16="http://schemas.microsoft.com/office/drawing/2014/chart" uri="{C3380CC4-5D6E-409C-BE32-E72D297353CC}">
                  <c16:uniqueId val="{00000013-0FB4-4B8F-A054-445CF161F0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'funkcijska graf'!$H$18:$H$27</c:f>
              <c:strCache>
                <c:ptCount val="10"/>
                <c:pt idx="0">
                  <c:v>Opće javne usluge</c:v>
                </c:pt>
                <c:pt idx="1">
                  <c:v>Obrana</c:v>
                </c:pt>
                <c:pt idx="2">
                  <c:v>Javni red i sigurnost</c:v>
                </c:pt>
                <c:pt idx="3">
                  <c:v>Ekonomski poslovi</c:v>
                </c:pt>
                <c:pt idx="4">
                  <c:v>Zaštita okoliša</c:v>
                </c:pt>
                <c:pt idx="5">
                  <c:v>Usluge unapređenja stanovanja i zajednice</c:v>
                </c:pt>
                <c:pt idx="6">
                  <c:v>Zdravstvo</c:v>
                </c:pt>
                <c:pt idx="7">
                  <c:v>Rekreacija, kultura i religija</c:v>
                </c:pt>
                <c:pt idx="8">
                  <c:v>Obrazovanje</c:v>
                </c:pt>
                <c:pt idx="9">
                  <c:v>Socijalna zaštita</c:v>
                </c:pt>
              </c:strCache>
            </c:strRef>
          </c:cat>
          <c:val>
            <c:numRef>
              <c:f>'funkcijska graf'!$I$18:$I$27</c:f>
              <c:numCache>
                <c:formatCode>#,##0.0</c:formatCode>
                <c:ptCount val="10"/>
                <c:pt idx="0">
                  <c:v>13.978681878312701</c:v>
                </c:pt>
                <c:pt idx="1">
                  <c:v>3.4082482486213475</c:v>
                </c:pt>
                <c:pt idx="2">
                  <c:v>6.3264905983704001</c:v>
                </c:pt>
                <c:pt idx="3">
                  <c:v>13.804545077390944</c:v>
                </c:pt>
                <c:pt idx="4">
                  <c:v>0.84941707246612275</c:v>
                </c:pt>
                <c:pt idx="5">
                  <c:v>1.9099157855805917</c:v>
                </c:pt>
                <c:pt idx="6">
                  <c:v>9.2021898773320778</c:v>
                </c:pt>
                <c:pt idx="7">
                  <c:v>1.8565952068236382</c:v>
                </c:pt>
                <c:pt idx="8">
                  <c:v>11.294016474133445</c:v>
                </c:pt>
                <c:pt idx="9">
                  <c:v>37.369899780968716</c:v>
                </c:pt>
              </c:numCache>
            </c:numRef>
          </c:val>
          <c:extLst xmlns:c16r2="http://schemas.microsoft.com/office/drawing/2015/06/chart">
            <c:ext xmlns:c16="http://schemas.microsoft.com/office/drawing/2014/chart" uri="{C3380CC4-5D6E-409C-BE32-E72D297353CC}">
              <c16:uniqueId val="{00000014-0FB4-4B8F-A054-445CF161F0EC}"/>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flat"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5A306-D6E8-4F57-A218-A49218B0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10340</Words>
  <Characters>61295</Characters>
  <Application>Microsoft Office Word</Application>
  <DocSecurity>0</DocSecurity>
  <Lines>510</Lines>
  <Paragraphs>142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Tablice za obrazloženje izvršenja 2011</vt:lpstr>
      <vt:lpstr>Tablice za obrazloženje izvršenja 2011</vt:lpstr>
    </vt:vector>
  </TitlesOfParts>
  <Company>Ministarstvo financija</Company>
  <LinksUpToDate>false</LinksUpToDate>
  <CharactersWithSpaces>71493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Tablice za obrazloženje izvršenja 2011</dc:title>
  <dc:creator>mfkor</dc:creator>
  <cp:lastModifiedBy>mfkor</cp:lastModifiedBy>
  <cp:revision>7</cp:revision>
  <cp:lastPrinted>2017-04-21T16:00:00Z</cp:lastPrinted>
  <dcterms:created xsi:type="dcterms:W3CDTF">2020-05-04T14:55:00Z</dcterms:created>
  <dcterms:modified xsi:type="dcterms:W3CDTF">2020-05-05T13:35:00Z</dcterms:modified>
</cp:coreProperties>
</file>